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A15" w:rsidRPr="00725A15" w:rsidRDefault="00725A15" w:rsidP="00725A15">
      <w:pPr>
        <w:spacing w:line="360" w:lineRule="auto"/>
        <w:jc w:val="both"/>
        <w:rPr>
          <w:rFonts w:ascii="Arial" w:hAnsi="Arial" w:cs="Arial"/>
          <w:b/>
          <w:bCs/>
          <w:sz w:val="22"/>
          <w:szCs w:val="22"/>
        </w:rPr>
      </w:pPr>
      <w:r w:rsidRPr="00725A15">
        <w:rPr>
          <w:rFonts w:ascii="Arial" w:hAnsi="Arial" w:cs="Arial"/>
          <w:b/>
          <w:bCs/>
          <w:sz w:val="22"/>
          <w:szCs w:val="22"/>
        </w:rPr>
        <w:t xml:space="preserve">Charles </w:t>
      </w:r>
      <w:proofErr w:type="spellStart"/>
      <w:r w:rsidRPr="00725A15">
        <w:rPr>
          <w:rFonts w:ascii="Arial" w:hAnsi="Arial" w:cs="Arial"/>
          <w:b/>
          <w:bCs/>
          <w:sz w:val="22"/>
          <w:szCs w:val="22"/>
        </w:rPr>
        <w:t>St</w:t>
      </w:r>
      <w:r w:rsidRPr="00725A15">
        <w:rPr>
          <w:rFonts w:ascii="Arial" w:hAnsi="Arial" w:cs="Arial"/>
          <w:b/>
          <w:bCs/>
          <w:sz w:val="22"/>
          <w:szCs w:val="22"/>
        </w:rPr>
        <w:t>é</w:t>
      </w:r>
      <w:r w:rsidRPr="00725A15">
        <w:rPr>
          <w:rFonts w:ascii="Arial" w:hAnsi="Arial" w:cs="Arial"/>
          <w:b/>
          <w:bCs/>
          <w:sz w:val="22"/>
          <w:szCs w:val="22"/>
        </w:rPr>
        <w:t>panoff</w:t>
      </w:r>
      <w:proofErr w:type="spellEnd"/>
      <w:r w:rsidRPr="00725A15">
        <w:rPr>
          <w:rFonts w:ascii="Arial" w:hAnsi="Arial" w:cs="Arial"/>
          <w:b/>
          <w:bCs/>
          <w:sz w:val="22"/>
          <w:szCs w:val="22"/>
        </w:rPr>
        <w:t xml:space="preserve">, </w:t>
      </w:r>
      <w:r w:rsidRPr="00725A15">
        <w:rPr>
          <w:rFonts w:ascii="Arial" w:hAnsi="Arial" w:cs="Arial"/>
          <w:b/>
          <w:bCs/>
          <w:i/>
          <w:iCs/>
          <w:sz w:val="22"/>
          <w:szCs w:val="22"/>
        </w:rPr>
        <w:t xml:space="preserve">L’Animal et la mort, </w:t>
      </w:r>
      <w:r w:rsidRPr="00725A15">
        <w:rPr>
          <w:rFonts w:ascii="Arial" w:hAnsi="Arial" w:cs="Arial"/>
          <w:b/>
          <w:bCs/>
          <w:sz w:val="22"/>
          <w:szCs w:val="22"/>
        </w:rPr>
        <w:t>« C</w:t>
      </w:r>
      <w:r w:rsidRPr="00725A15">
        <w:rPr>
          <w:rFonts w:ascii="Arial" w:hAnsi="Arial" w:cs="Arial"/>
          <w:b/>
          <w:bCs/>
          <w:sz w:val="22"/>
          <w:szCs w:val="22"/>
        </w:rPr>
        <w:t>onclusion</w:t>
      </w:r>
      <w:r w:rsidRPr="00725A15">
        <w:rPr>
          <w:rFonts w:ascii="Arial" w:hAnsi="Arial" w:cs="Arial"/>
          <w:b/>
          <w:bCs/>
          <w:sz w:val="22"/>
          <w:szCs w:val="22"/>
        </w:rPr>
        <w:t> »</w:t>
      </w:r>
      <w:r w:rsidRPr="00725A15">
        <w:rPr>
          <w:rFonts w:ascii="Arial" w:hAnsi="Arial" w:cs="Arial"/>
          <w:b/>
          <w:bCs/>
          <w:sz w:val="22"/>
          <w:szCs w:val="22"/>
        </w:rPr>
        <w:t xml:space="preserve"> – </w:t>
      </w:r>
      <w:r>
        <w:rPr>
          <w:rFonts w:ascii="Arial" w:hAnsi="Arial" w:cs="Arial"/>
          <w:b/>
          <w:bCs/>
          <w:sz w:val="22"/>
          <w:szCs w:val="22"/>
        </w:rPr>
        <w:t>résumé en 120 mots (+/- 10%)</w:t>
      </w:r>
    </w:p>
    <w:p w:rsidR="00E46929" w:rsidRPr="00FF4E67" w:rsidRDefault="00E46929" w:rsidP="00FF4E67">
      <w:pPr>
        <w:spacing w:line="360" w:lineRule="auto"/>
        <w:jc w:val="both"/>
        <w:rPr>
          <w:rFonts w:ascii="Arial" w:hAnsi="Arial" w:cs="Arial"/>
          <w:sz w:val="22"/>
          <w:szCs w:val="22"/>
        </w:rPr>
      </w:pPr>
    </w:p>
    <w:p w:rsidR="00E46929" w:rsidRPr="00FF4E67" w:rsidRDefault="00E46929" w:rsidP="00FF4E67">
      <w:pPr>
        <w:spacing w:line="360" w:lineRule="auto"/>
        <w:ind w:firstLine="708"/>
        <w:jc w:val="both"/>
        <w:rPr>
          <w:rFonts w:ascii="Arial" w:hAnsi="Arial" w:cs="Arial"/>
          <w:sz w:val="22"/>
          <w:szCs w:val="22"/>
        </w:rPr>
      </w:pPr>
      <w:r w:rsidRPr="00FF4E67">
        <w:rPr>
          <w:rFonts w:ascii="Arial" w:hAnsi="Arial" w:cs="Arial"/>
          <w:sz w:val="22"/>
          <w:szCs w:val="22"/>
        </w:rPr>
        <w:t xml:space="preserve">Le lien historique et logique est intime entre l’avènement d’une rationalité catégorielle rigide et la spatialisation des catégories mentales dans des paysages clivés. Lieux de production intensive, </w:t>
      </w:r>
      <w:proofErr w:type="gramStart"/>
      <w:r w:rsidRPr="00FF4E67">
        <w:rPr>
          <w:rFonts w:ascii="Arial" w:hAnsi="Arial" w:cs="Arial"/>
          <w:sz w:val="22"/>
          <w:szCs w:val="22"/>
        </w:rPr>
        <w:t>zones  de</w:t>
      </w:r>
      <w:proofErr w:type="gramEnd"/>
      <w:r w:rsidRPr="00FF4E67">
        <w:rPr>
          <w:rFonts w:ascii="Arial" w:hAnsi="Arial" w:cs="Arial"/>
          <w:sz w:val="22"/>
          <w:szCs w:val="22"/>
        </w:rPr>
        <w:t xml:space="preserve"> forêts, parcs de loisirs, aires d’habitat  et de travail  segmentent à  la fois nos  vies, nos territoires et  nos esprits. Ces dernières années, conflits d’usage, incompatibilités éthiques et nécessités de contrôle de la faune entraînent un cloisonnement accéléré des espaces, comme l’illustrent les centaines de kilomètres de clôtures qui viennent séparer forêts et terres cultivées. Une même logique de division du travail et de séparation exclusive s’applique à des catégories d’êtres vivants (animaux de compagnie et animaux-matière), à des paysages (réserves naturelles et zones de production) et à des attitudes morales (amour protecteur et exploitation capitaliste).</w:t>
      </w:r>
    </w:p>
    <w:p w:rsidR="00E46929" w:rsidRPr="00FF4E67" w:rsidRDefault="00E46929" w:rsidP="00FF4E67">
      <w:pPr>
        <w:spacing w:line="360" w:lineRule="auto"/>
        <w:ind w:firstLine="708"/>
        <w:jc w:val="both"/>
        <w:rPr>
          <w:rFonts w:ascii="Arial" w:hAnsi="Arial" w:cs="Arial"/>
          <w:sz w:val="22"/>
          <w:szCs w:val="22"/>
        </w:rPr>
      </w:pPr>
      <w:r w:rsidRPr="00FF4E67">
        <w:rPr>
          <w:rFonts w:ascii="Arial" w:hAnsi="Arial" w:cs="Arial"/>
          <w:sz w:val="22"/>
          <w:szCs w:val="22"/>
        </w:rPr>
        <w:t>Or ce paradigme auquel nous sommes habitués n’est pas le seul possible. Nous avons besoin d’élargir nos modèles afin d’imaginer d’autres rapports au vivant qui ne soient pas d’un seul tenant, mais riches de leur complexité même. En ce domaine, les mythologies et les rites des peuples de chasseurs et d’éleveurs peuvent nous servir de guides. Les paradoxes de leurs rapports aux non-humains reçoivent des formulations d’une réflexivité profonde. Souvenons-nous du mythe inuit qui mettait en garde contre l’éclatement entre le camp de l’amour protecteur figuré par la femme à l’ours apprivoisé et le camp de la violence incarné par les chasseurs impitoyables. Les mondes autochtones</w:t>
      </w:r>
      <w:r w:rsidR="00725A15">
        <w:rPr>
          <w:rFonts w:ascii="Arial" w:hAnsi="Arial" w:cs="Arial"/>
          <w:sz w:val="22"/>
          <w:szCs w:val="22"/>
        </w:rPr>
        <w:t xml:space="preserve"> </w:t>
      </w:r>
      <w:r w:rsidRPr="00FF4E67">
        <w:rPr>
          <w:rFonts w:ascii="Arial" w:hAnsi="Arial" w:cs="Arial"/>
          <w:sz w:val="22"/>
          <w:szCs w:val="22"/>
        </w:rPr>
        <w:t>nous rappellent que préserver une autonomie à la fois vivrière et morale nécessite un polymorphisme des éthos capable de nourrir un milieu relationnel riche. </w:t>
      </w:r>
    </w:p>
    <w:p w:rsidR="00E46929" w:rsidRPr="00FF4E67" w:rsidRDefault="00E46929" w:rsidP="00FF4E67">
      <w:pPr>
        <w:spacing w:line="360" w:lineRule="auto"/>
        <w:ind w:firstLine="708"/>
        <w:jc w:val="both"/>
        <w:rPr>
          <w:rFonts w:ascii="Arial" w:hAnsi="Arial" w:cs="Arial"/>
          <w:sz w:val="22"/>
          <w:szCs w:val="22"/>
        </w:rPr>
      </w:pPr>
      <w:r w:rsidRPr="00FF4E67">
        <w:rPr>
          <w:rFonts w:ascii="Arial" w:hAnsi="Arial" w:cs="Arial"/>
          <w:sz w:val="22"/>
          <w:szCs w:val="22"/>
        </w:rPr>
        <w:t>Notre monde souffre d’un appauvrissement simultané et corrélé des formes de vie et des modes de vie. Face à une unification mondialisée étouffante, l’enjeu profond des conflits actuels est désormais autant la préservation des espèces que celle d’une diversité de façons d’habiter la terre qui pendant de nombreux siècles ont permis, vaille que vaille, la coexistence des humains et d’une multiplicité d’êtres. Une coexistence qui n’était ni une symbiose idyllique (une fiction qui nous détache du réel) ni une guerre d’extermination (une pulsion qui détruit le réel), mais une amphibiose</w:t>
      </w:r>
      <w:r w:rsidR="00725A15">
        <w:rPr>
          <w:rStyle w:val="Appelnotedebasdep"/>
          <w:rFonts w:ascii="Arial" w:hAnsi="Arial" w:cs="Arial"/>
          <w:sz w:val="22"/>
          <w:szCs w:val="22"/>
        </w:rPr>
        <w:footnoteReference w:id="1"/>
      </w:r>
      <w:r w:rsidRPr="00FF4E67">
        <w:rPr>
          <w:rFonts w:ascii="Arial" w:hAnsi="Arial" w:cs="Arial"/>
          <w:sz w:val="22"/>
          <w:szCs w:val="22"/>
        </w:rPr>
        <w:t>, les pieds sur la terre. Travaillées par un processus séculaire</w:t>
      </w:r>
      <w:r w:rsidR="00725A15">
        <w:rPr>
          <w:rStyle w:val="Appelnotedebasdep"/>
          <w:rFonts w:ascii="Arial" w:hAnsi="Arial" w:cs="Arial"/>
          <w:sz w:val="22"/>
          <w:szCs w:val="22"/>
        </w:rPr>
        <w:footnoteReference w:id="2"/>
      </w:r>
      <w:r w:rsidRPr="00FF4E67">
        <w:rPr>
          <w:rFonts w:ascii="Arial" w:hAnsi="Arial" w:cs="Arial"/>
          <w:sz w:val="22"/>
          <w:szCs w:val="22"/>
        </w:rPr>
        <w:t xml:space="preserve">  de  civilisation  qui les éloigne de l’animalité et  de  la nature,  mais de  plus  en plus anxieuses des conséquences écologiques  de cette  rupture, les sociétés modernes vont  nécessairement devoir affronter avec lucidité cette question : peuvent-elles admettre en leur  sein un pluralisme de cosmologies et de modes de vie,  incluant des traditions  qui, comme la  chasse, ont préexisté à la réorganisation des sensibilités  dans le  couple déchiré exploitation-protection ? </w:t>
      </w:r>
    </w:p>
    <w:p w:rsidR="00E46929" w:rsidRPr="00FF4E67" w:rsidRDefault="00E46929" w:rsidP="00FF4E67">
      <w:pPr>
        <w:spacing w:line="360" w:lineRule="auto"/>
        <w:ind w:firstLine="708"/>
        <w:jc w:val="both"/>
        <w:rPr>
          <w:rFonts w:ascii="Arial" w:hAnsi="Arial" w:cs="Arial"/>
          <w:sz w:val="22"/>
          <w:szCs w:val="22"/>
        </w:rPr>
      </w:pPr>
      <w:r w:rsidRPr="00FF4E67">
        <w:rPr>
          <w:rFonts w:ascii="Arial" w:hAnsi="Arial" w:cs="Arial"/>
          <w:sz w:val="22"/>
          <w:szCs w:val="22"/>
        </w:rPr>
        <w:lastRenderedPageBreak/>
        <w:t>L’étonnante division rigide entre les êtres exploités qui assurent notre subsistance et ceux qui partagent nos maisons et nos émotions dérive d’une séparation entre production et habitat. C’est parce que porcs, vaches et poules ont quitté nos maisons qu’ils ont pu devenir des animaux-matière. À l’heure où de plus  en  plus de personnes, notamment  dans les jeunes générations, s’interrogent  sur  la délégation  des tâches  et  souhaitent reprendre en main les conditions  de leur survie, il appartient à l’anthropologie d’illustrer la multiplicité des formes de vie résistant à cette alternative : ni protéger le vivant ni l’exploiter, mais en faire un lieu de vie, habiter le vivant et s’en nourrir, dans une relation d’incorporation consubstantielle,</w:t>
      </w:r>
      <w:r w:rsidR="00725A15">
        <w:rPr>
          <w:rFonts w:ascii="Arial" w:hAnsi="Arial" w:cs="Arial"/>
          <w:sz w:val="22"/>
          <w:szCs w:val="22"/>
        </w:rPr>
        <w:t xml:space="preserve"> </w:t>
      </w:r>
      <w:r w:rsidRPr="00FF4E67">
        <w:rPr>
          <w:rFonts w:ascii="Arial" w:hAnsi="Arial" w:cs="Arial"/>
          <w:sz w:val="22"/>
          <w:szCs w:val="22"/>
        </w:rPr>
        <w:t>qui n’est pas univoque et purifiée mais composite et trouble.</w:t>
      </w:r>
    </w:p>
    <w:p w:rsidR="00E46929" w:rsidRDefault="00E46929" w:rsidP="00FF4E67">
      <w:pPr>
        <w:spacing w:line="360" w:lineRule="auto"/>
        <w:ind w:firstLine="708"/>
        <w:jc w:val="both"/>
        <w:rPr>
          <w:rFonts w:ascii="Arial" w:hAnsi="Arial" w:cs="Arial"/>
          <w:sz w:val="22"/>
          <w:szCs w:val="22"/>
        </w:rPr>
      </w:pPr>
      <w:r w:rsidRPr="00FF4E67">
        <w:rPr>
          <w:rFonts w:ascii="Arial" w:hAnsi="Arial" w:cs="Arial"/>
          <w:sz w:val="22"/>
          <w:szCs w:val="22"/>
        </w:rPr>
        <w:t xml:space="preserve">Au terme de cette enquête, gardons espoir dans une ouverture des imaginations à des modes d’existence capables de recréer des écosystèmes biotiques et cosmologiques </w:t>
      </w:r>
      <w:proofErr w:type="gramStart"/>
      <w:r w:rsidRPr="00FF4E67">
        <w:rPr>
          <w:rFonts w:ascii="Arial" w:hAnsi="Arial" w:cs="Arial"/>
          <w:sz w:val="22"/>
          <w:szCs w:val="22"/>
        </w:rPr>
        <w:t>touffus  et</w:t>
      </w:r>
      <w:proofErr w:type="gramEnd"/>
      <w:r w:rsidRPr="00FF4E67">
        <w:rPr>
          <w:rFonts w:ascii="Arial" w:hAnsi="Arial" w:cs="Arial"/>
          <w:sz w:val="22"/>
          <w:szCs w:val="22"/>
        </w:rPr>
        <w:t xml:space="preserve"> bigarrés opposant quelques rugosités au grand lissage des plaines.</w:t>
      </w:r>
    </w:p>
    <w:p w:rsidR="00E50E8A" w:rsidRDefault="00E50E8A" w:rsidP="00FF4E67">
      <w:pPr>
        <w:spacing w:line="360" w:lineRule="auto"/>
        <w:ind w:firstLine="708"/>
        <w:jc w:val="both"/>
        <w:rPr>
          <w:rFonts w:ascii="Arial" w:hAnsi="Arial" w:cs="Arial"/>
          <w:sz w:val="22"/>
          <w:szCs w:val="22"/>
        </w:rPr>
      </w:pPr>
    </w:p>
    <w:p w:rsidR="00E50E8A" w:rsidRPr="00E50E8A" w:rsidRDefault="00E50E8A" w:rsidP="00FF4E67">
      <w:pPr>
        <w:spacing w:line="360" w:lineRule="auto"/>
        <w:ind w:firstLine="708"/>
        <w:jc w:val="both"/>
        <w:rPr>
          <w:rFonts w:ascii="Arial" w:hAnsi="Arial" w:cs="Arial"/>
          <w:b/>
          <w:bCs/>
          <w:sz w:val="22"/>
          <w:szCs w:val="22"/>
        </w:rPr>
      </w:pPr>
      <w:r w:rsidRPr="00E50E8A">
        <w:rPr>
          <w:rFonts w:ascii="Arial" w:hAnsi="Arial" w:cs="Arial"/>
          <w:b/>
          <w:bCs/>
          <w:sz w:val="22"/>
          <w:szCs w:val="22"/>
        </w:rPr>
        <w:t xml:space="preserve">Résumé – </w:t>
      </w:r>
    </w:p>
    <w:p w:rsidR="00E50E8A" w:rsidRDefault="00E50E8A" w:rsidP="00FF4E67">
      <w:pPr>
        <w:spacing w:line="360" w:lineRule="auto"/>
        <w:ind w:firstLine="708"/>
        <w:jc w:val="both"/>
        <w:rPr>
          <w:rFonts w:ascii="Arial" w:hAnsi="Arial" w:cs="Arial"/>
          <w:sz w:val="22"/>
          <w:szCs w:val="22"/>
        </w:rPr>
      </w:pPr>
    </w:p>
    <w:p w:rsidR="00E50E8A" w:rsidRDefault="00E50E8A" w:rsidP="00FF4E67">
      <w:pPr>
        <w:spacing w:line="360" w:lineRule="auto"/>
        <w:ind w:firstLine="708"/>
        <w:jc w:val="both"/>
        <w:rPr>
          <w:rFonts w:ascii="Arial" w:hAnsi="Arial" w:cs="Arial"/>
          <w:sz w:val="22"/>
          <w:szCs w:val="22"/>
        </w:rPr>
      </w:pPr>
      <w:r>
        <w:rPr>
          <w:rFonts w:ascii="Arial" w:hAnsi="Arial" w:cs="Arial"/>
          <w:sz w:val="22"/>
          <w:szCs w:val="22"/>
        </w:rPr>
        <w:t xml:space="preserve">Vous proposerez un résumé du texte de </w:t>
      </w:r>
      <w:proofErr w:type="spellStart"/>
      <w:r>
        <w:rPr>
          <w:rFonts w:ascii="Arial" w:hAnsi="Arial" w:cs="Arial"/>
          <w:sz w:val="22"/>
          <w:szCs w:val="22"/>
        </w:rPr>
        <w:t>Stépanoff</w:t>
      </w:r>
      <w:proofErr w:type="spellEnd"/>
      <w:r>
        <w:rPr>
          <w:rFonts w:ascii="Arial" w:hAnsi="Arial" w:cs="Arial"/>
          <w:sz w:val="22"/>
          <w:szCs w:val="22"/>
        </w:rPr>
        <w:t xml:space="preserve"> </w:t>
      </w:r>
      <w:r w:rsidRPr="00E50E8A">
        <w:rPr>
          <w:rFonts w:ascii="Arial" w:hAnsi="Arial" w:cs="Arial"/>
          <w:sz w:val="22"/>
          <w:szCs w:val="22"/>
          <w:u w:val="single"/>
        </w:rPr>
        <w:t>en 120 mots</w:t>
      </w:r>
      <w:r>
        <w:rPr>
          <w:rFonts w:ascii="Arial" w:hAnsi="Arial" w:cs="Arial"/>
          <w:sz w:val="22"/>
          <w:szCs w:val="22"/>
        </w:rPr>
        <w:t xml:space="preserve"> (+/- 10%). Votre résumé fera </w:t>
      </w:r>
      <w:r w:rsidRPr="00E50E8A">
        <w:rPr>
          <w:rFonts w:ascii="Arial" w:hAnsi="Arial" w:cs="Arial"/>
          <w:sz w:val="22"/>
          <w:szCs w:val="22"/>
          <w:u w:val="single"/>
        </w:rPr>
        <w:t>au minimum 108 mots, et au maximum 132 mots</w:t>
      </w:r>
      <w:r>
        <w:rPr>
          <w:rFonts w:ascii="Arial" w:hAnsi="Arial" w:cs="Arial"/>
          <w:sz w:val="22"/>
          <w:szCs w:val="22"/>
        </w:rPr>
        <w:t xml:space="preserve">. </w:t>
      </w:r>
    </w:p>
    <w:p w:rsidR="00E50E8A" w:rsidRDefault="00E50E8A" w:rsidP="00FF4E67">
      <w:pPr>
        <w:spacing w:line="360" w:lineRule="auto"/>
        <w:ind w:firstLine="708"/>
        <w:jc w:val="both"/>
        <w:rPr>
          <w:rFonts w:ascii="Arial" w:hAnsi="Arial" w:cs="Arial"/>
          <w:sz w:val="22"/>
          <w:szCs w:val="22"/>
        </w:rPr>
      </w:pPr>
      <w:r>
        <w:rPr>
          <w:rFonts w:ascii="Arial" w:hAnsi="Arial" w:cs="Arial"/>
          <w:sz w:val="22"/>
          <w:szCs w:val="22"/>
        </w:rPr>
        <w:t xml:space="preserve">Vous remplirez la grille fournie en annexe pour rédiger votre devoir. </w:t>
      </w:r>
    </w:p>
    <w:p w:rsidR="00E50E8A" w:rsidRDefault="00E50E8A" w:rsidP="00FF4E67">
      <w:pPr>
        <w:spacing w:line="360" w:lineRule="auto"/>
        <w:ind w:firstLine="708"/>
        <w:jc w:val="both"/>
        <w:rPr>
          <w:rFonts w:ascii="Arial" w:hAnsi="Arial" w:cs="Arial"/>
          <w:sz w:val="22"/>
          <w:szCs w:val="22"/>
        </w:rPr>
      </w:pPr>
      <w:r>
        <w:rPr>
          <w:rFonts w:ascii="Arial" w:hAnsi="Arial" w:cs="Arial"/>
          <w:sz w:val="22"/>
          <w:szCs w:val="22"/>
        </w:rPr>
        <w:t xml:space="preserve">Vous indiquerez </w:t>
      </w:r>
      <w:r w:rsidRPr="00E50E8A">
        <w:rPr>
          <w:rFonts w:ascii="Arial" w:hAnsi="Arial" w:cs="Arial"/>
          <w:sz w:val="22"/>
          <w:szCs w:val="22"/>
          <w:u w:val="single"/>
        </w:rPr>
        <w:t>à la fin le nombre total de mots</w:t>
      </w:r>
      <w:r>
        <w:rPr>
          <w:rFonts w:ascii="Arial" w:hAnsi="Arial" w:cs="Arial"/>
          <w:sz w:val="22"/>
          <w:szCs w:val="22"/>
        </w:rPr>
        <w:t xml:space="preserve">, </w:t>
      </w:r>
    </w:p>
    <w:p w:rsidR="00E50E8A" w:rsidRDefault="00E50E8A" w:rsidP="00FF4E67">
      <w:pPr>
        <w:spacing w:line="360" w:lineRule="auto"/>
        <w:ind w:firstLine="708"/>
        <w:jc w:val="both"/>
        <w:rPr>
          <w:rFonts w:ascii="Arial" w:hAnsi="Arial" w:cs="Arial"/>
          <w:sz w:val="22"/>
          <w:szCs w:val="22"/>
        </w:rPr>
      </w:pPr>
      <w:proofErr w:type="gramStart"/>
      <w:r>
        <w:rPr>
          <w:rFonts w:ascii="Arial" w:hAnsi="Arial" w:cs="Arial"/>
          <w:sz w:val="22"/>
          <w:szCs w:val="22"/>
        </w:rPr>
        <w:t>après</w:t>
      </w:r>
      <w:proofErr w:type="gramEnd"/>
      <w:r>
        <w:rPr>
          <w:rFonts w:ascii="Arial" w:hAnsi="Arial" w:cs="Arial"/>
          <w:sz w:val="22"/>
          <w:szCs w:val="22"/>
        </w:rPr>
        <w:t xml:space="preserve"> avoir inscrit un * pour délimiter les paragraphes, </w:t>
      </w:r>
    </w:p>
    <w:p w:rsidR="00E50E8A" w:rsidRDefault="00E50E8A" w:rsidP="00FF4E67">
      <w:pPr>
        <w:spacing w:line="360" w:lineRule="auto"/>
        <w:ind w:firstLine="708"/>
        <w:jc w:val="both"/>
        <w:rPr>
          <w:rFonts w:ascii="Arial" w:hAnsi="Arial" w:cs="Arial"/>
          <w:sz w:val="22"/>
          <w:szCs w:val="22"/>
        </w:rPr>
      </w:pPr>
      <w:proofErr w:type="gramStart"/>
      <w:r>
        <w:rPr>
          <w:rFonts w:ascii="Arial" w:hAnsi="Arial" w:cs="Arial"/>
          <w:sz w:val="22"/>
          <w:szCs w:val="22"/>
        </w:rPr>
        <w:t>et</w:t>
      </w:r>
      <w:proofErr w:type="gramEnd"/>
      <w:r>
        <w:rPr>
          <w:rFonts w:ascii="Arial" w:hAnsi="Arial" w:cs="Arial"/>
          <w:sz w:val="22"/>
          <w:szCs w:val="22"/>
        </w:rPr>
        <w:t xml:space="preserve"> une barre / qui indiquera tous les 20 mots. </w:t>
      </w:r>
    </w:p>
    <w:p w:rsidR="00F61EF4" w:rsidRDefault="00F61EF4" w:rsidP="00FF4E67">
      <w:pPr>
        <w:spacing w:line="360" w:lineRule="auto"/>
        <w:ind w:firstLine="708"/>
        <w:jc w:val="both"/>
        <w:rPr>
          <w:rFonts w:ascii="Arial" w:hAnsi="Arial" w:cs="Arial"/>
          <w:sz w:val="22"/>
          <w:szCs w:val="22"/>
        </w:rPr>
      </w:pPr>
    </w:p>
    <w:p w:rsidR="00F61EF4" w:rsidRDefault="00F61EF4" w:rsidP="00FF4E67">
      <w:pPr>
        <w:spacing w:line="360" w:lineRule="auto"/>
        <w:ind w:firstLine="708"/>
        <w:jc w:val="both"/>
        <w:rPr>
          <w:rFonts w:ascii="Arial" w:hAnsi="Arial" w:cs="Arial"/>
          <w:b/>
          <w:bCs/>
          <w:sz w:val="22"/>
          <w:szCs w:val="22"/>
        </w:rPr>
      </w:pPr>
      <w:r>
        <w:rPr>
          <w:rFonts w:ascii="Arial" w:hAnsi="Arial" w:cs="Arial"/>
          <w:b/>
          <w:bCs/>
          <w:sz w:val="22"/>
          <w:szCs w:val="22"/>
        </w:rPr>
        <w:t>*</w:t>
      </w:r>
    </w:p>
    <w:p w:rsidR="00F61EF4" w:rsidRDefault="00F61EF4" w:rsidP="00FF4E67">
      <w:pPr>
        <w:spacing w:line="360" w:lineRule="auto"/>
        <w:ind w:firstLine="708"/>
        <w:jc w:val="both"/>
        <w:rPr>
          <w:rFonts w:ascii="Arial" w:hAnsi="Arial" w:cs="Arial"/>
          <w:b/>
          <w:bCs/>
          <w:sz w:val="22"/>
          <w:szCs w:val="22"/>
        </w:rPr>
      </w:pPr>
    </w:p>
    <w:p w:rsidR="00F61EF4" w:rsidRDefault="00F61EF4" w:rsidP="00FF4E67">
      <w:pPr>
        <w:spacing w:line="360" w:lineRule="auto"/>
        <w:ind w:firstLine="708"/>
        <w:jc w:val="both"/>
        <w:rPr>
          <w:rFonts w:ascii="Arial" w:hAnsi="Arial" w:cs="Arial"/>
          <w:b/>
          <w:bCs/>
          <w:sz w:val="22"/>
          <w:szCs w:val="22"/>
        </w:rPr>
      </w:pPr>
      <w:r>
        <w:rPr>
          <w:rFonts w:ascii="Arial" w:hAnsi="Arial" w:cs="Arial"/>
          <w:b/>
          <w:bCs/>
          <w:sz w:val="22"/>
          <w:szCs w:val="22"/>
        </w:rPr>
        <w:t xml:space="preserve">Sujet à analyser et problématiser – </w:t>
      </w:r>
    </w:p>
    <w:p w:rsidR="00F61EF4" w:rsidRDefault="00F61EF4" w:rsidP="00FF4E67">
      <w:pPr>
        <w:spacing w:line="360" w:lineRule="auto"/>
        <w:ind w:firstLine="708"/>
        <w:jc w:val="both"/>
        <w:rPr>
          <w:rFonts w:ascii="Arial" w:hAnsi="Arial" w:cs="Arial"/>
          <w:b/>
          <w:bCs/>
          <w:sz w:val="22"/>
          <w:szCs w:val="22"/>
        </w:rPr>
      </w:pPr>
    </w:p>
    <w:p w:rsidR="00F61EF4" w:rsidRDefault="00F61EF4" w:rsidP="00FF4E67">
      <w:pPr>
        <w:spacing w:line="360" w:lineRule="auto"/>
        <w:ind w:firstLine="708"/>
        <w:jc w:val="both"/>
        <w:rPr>
          <w:rFonts w:ascii="Arial" w:hAnsi="Arial" w:cs="Arial"/>
          <w:sz w:val="22"/>
          <w:szCs w:val="22"/>
        </w:rPr>
      </w:pPr>
      <w:r>
        <w:rPr>
          <w:rFonts w:ascii="Arial" w:hAnsi="Arial" w:cs="Arial"/>
          <w:sz w:val="22"/>
          <w:szCs w:val="22"/>
        </w:rPr>
        <w:t xml:space="preserve">Charles </w:t>
      </w:r>
      <w:proofErr w:type="spellStart"/>
      <w:r>
        <w:rPr>
          <w:rFonts w:ascii="Arial" w:hAnsi="Arial" w:cs="Arial"/>
          <w:sz w:val="22"/>
          <w:szCs w:val="22"/>
        </w:rPr>
        <w:t>Stépanoff</w:t>
      </w:r>
      <w:proofErr w:type="spellEnd"/>
      <w:r>
        <w:rPr>
          <w:rFonts w:ascii="Arial" w:hAnsi="Arial" w:cs="Arial"/>
          <w:sz w:val="22"/>
          <w:szCs w:val="22"/>
        </w:rPr>
        <w:t xml:space="preserve"> écrit que de nouveaux rapports au vivant émergent : </w:t>
      </w:r>
      <w:r w:rsidRPr="00F61EF4">
        <w:rPr>
          <w:rFonts w:ascii="Arial" w:hAnsi="Arial" w:cs="Arial"/>
          <w:b/>
          <w:bCs/>
          <w:sz w:val="22"/>
          <w:szCs w:val="22"/>
        </w:rPr>
        <w:t>« </w:t>
      </w:r>
      <w:r w:rsidRPr="00F61EF4">
        <w:rPr>
          <w:rFonts w:ascii="Arial" w:hAnsi="Arial" w:cs="Arial"/>
          <w:b/>
          <w:bCs/>
          <w:sz w:val="22"/>
          <w:szCs w:val="22"/>
        </w:rPr>
        <w:t>ni protéger le vivant ni l’exploiter, mais en faire un lieu de vie, habiter le vivant et s’en nourrir</w:t>
      </w:r>
      <w:r w:rsidRPr="00F61EF4">
        <w:rPr>
          <w:rFonts w:ascii="Arial" w:hAnsi="Arial" w:cs="Arial"/>
          <w:b/>
          <w:bCs/>
          <w:sz w:val="22"/>
          <w:szCs w:val="22"/>
        </w:rPr>
        <w:t> ».</w:t>
      </w:r>
    </w:p>
    <w:p w:rsidR="00F61EF4" w:rsidRDefault="00F61EF4" w:rsidP="00FF4E67">
      <w:pPr>
        <w:spacing w:line="360" w:lineRule="auto"/>
        <w:ind w:firstLine="708"/>
        <w:jc w:val="both"/>
        <w:rPr>
          <w:rFonts w:ascii="Arial" w:hAnsi="Arial" w:cs="Arial"/>
          <w:sz w:val="22"/>
          <w:szCs w:val="22"/>
        </w:rPr>
      </w:pPr>
    </w:p>
    <w:p w:rsidR="00F61EF4" w:rsidRPr="00F61EF4" w:rsidRDefault="00F61EF4" w:rsidP="00FF4E67">
      <w:pPr>
        <w:spacing w:line="360" w:lineRule="auto"/>
        <w:ind w:firstLine="708"/>
        <w:jc w:val="both"/>
        <w:rPr>
          <w:rFonts w:ascii="Arial" w:hAnsi="Arial" w:cs="Arial"/>
          <w:sz w:val="22"/>
          <w:szCs w:val="22"/>
        </w:rPr>
      </w:pPr>
      <w:r>
        <w:rPr>
          <w:rFonts w:ascii="Arial" w:hAnsi="Arial" w:cs="Arial"/>
          <w:sz w:val="22"/>
          <w:szCs w:val="22"/>
        </w:rPr>
        <w:t>En quoi cette remarque vous inspire-t-elle dans votre réflexion à partir des œuvres de Canguilhem (</w:t>
      </w:r>
      <w:r>
        <w:rPr>
          <w:rFonts w:ascii="Arial" w:hAnsi="Arial" w:cs="Arial"/>
          <w:i/>
          <w:iCs/>
          <w:sz w:val="22"/>
          <w:szCs w:val="22"/>
        </w:rPr>
        <w:t xml:space="preserve">La Connaissance de la </w:t>
      </w:r>
      <w:r w:rsidRPr="00F61EF4">
        <w:rPr>
          <w:rFonts w:ascii="Arial" w:hAnsi="Arial" w:cs="Arial"/>
          <w:i/>
          <w:iCs/>
          <w:sz w:val="22"/>
          <w:szCs w:val="22"/>
        </w:rPr>
        <w:t>vie</w:t>
      </w:r>
      <w:r>
        <w:rPr>
          <w:rFonts w:ascii="Arial" w:hAnsi="Arial" w:cs="Arial"/>
          <w:sz w:val="22"/>
          <w:szCs w:val="22"/>
        </w:rPr>
        <w:t>) et Verne (</w:t>
      </w:r>
      <w:r>
        <w:rPr>
          <w:rFonts w:ascii="Arial" w:hAnsi="Arial" w:cs="Arial"/>
          <w:i/>
          <w:iCs/>
          <w:sz w:val="22"/>
          <w:szCs w:val="22"/>
        </w:rPr>
        <w:t xml:space="preserve">Vingt mille lieues sous les </w:t>
      </w:r>
      <w:r w:rsidRPr="00F61EF4">
        <w:rPr>
          <w:rFonts w:ascii="Arial" w:hAnsi="Arial" w:cs="Arial"/>
          <w:i/>
          <w:iCs/>
          <w:sz w:val="22"/>
          <w:szCs w:val="22"/>
        </w:rPr>
        <w:t>mers</w:t>
      </w:r>
      <w:r>
        <w:rPr>
          <w:rFonts w:ascii="Arial" w:hAnsi="Arial" w:cs="Arial"/>
          <w:sz w:val="22"/>
          <w:szCs w:val="22"/>
        </w:rPr>
        <w:t>)</w:t>
      </w:r>
      <w:r>
        <w:rPr>
          <w:rFonts w:ascii="Arial" w:hAnsi="Arial" w:cs="Arial"/>
          <w:i/>
          <w:iCs/>
          <w:sz w:val="22"/>
          <w:szCs w:val="22"/>
        </w:rPr>
        <w:t> </w:t>
      </w:r>
      <w:r>
        <w:rPr>
          <w:rFonts w:ascii="Arial" w:hAnsi="Arial" w:cs="Arial"/>
          <w:sz w:val="22"/>
          <w:szCs w:val="22"/>
        </w:rPr>
        <w:t>?</w:t>
      </w:r>
    </w:p>
    <w:p w:rsidR="00E46929" w:rsidRPr="00FF4E67" w:rsidRDefault="00E46929" w:rsidP="00FF4E67">
      <w:pPr>
        <w:spacing w:line="360" w:lineRule="auto"/>
        <w:jc w:val="both"/>
        <w:rPr>
          <w:rFonts w:ascii="Arial" w:hAnsi="Arial" w:cs="Arial"/>
          <w:sz w:val="22"/>
          <w:szCs w:val="22"/>
        </w:rPr>
      </w:pPr>
    </w:p>
    <w:p w:rsidR="00CC5F08" w:rsidRPr="00FF4E67" w:rsidRDefault="00CC5F08" w:rsidP="00FF4E67">
      <w:pPr>
        <w:spacing w:line="360" w:lineRule="auto"/>
        <w:jc w:val="both"/>
        <w:rPr>
          <w:rFonts w:ascii="Arial" w:hAnsi="Arial" w:cs="Arial"/>
          <w:sz w:val="22"/>
          <w:szCs w:val="22"/>
        </w:rPr>
      </w:pPr>
    </w:p>
    <w:sectPr w:rsidR="00CC5F08" w:rsidRPr="00FF4E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42B4" w:rsidRDefault="009942B4" w:rsidP="00725A15">
      <w:r>
        <w:separator/>
      </w:r>
    </w:p>
  </w:endnote>
  <w:endnote w:type="continuationSeparator" w:id="0">
    <w:p w:rsidR="009942B4" w:rsidRDefault="009942B4" w:rsidP="0072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42B4" w:rsidRDefault="009942B4" w:rsidP="00725A15">
      <w:r>
        <w:separator/>
      </w:r>
    </w:p>
  </w:footnote>
  <w:footnote w:type="continuationSeparator" w:id="0">
    <w:p w:rsidR="009942B4" w:rsidRDefault="009942B4" w:rsidP="00725A15">
      <w:r>
        <w:continuationSeparator/>
      </w:r>
    </w:p>
  </w:footnote>
  <w:footnote w:id="1">
    <w:p w:rsidR="00725A15" w:rsidRPr="00725A15" w:rsidRDefault="00725A15" w:rsidP="00725A15">
      <w:pPr>
        <w:pStyle w:val="Notedebasdepage"/>
        <w:spacing w:line="276" w:lineRule="auto"/>
        <w:jc w:val="both"/>
        <w:rPr>
          <w:rFonts w:ascii="Arial" w:hAnsi="Arial" w:cs="Arial"/>
          <w:sz w:val="18"/>
          <w:szCs w:val="18"/>
        </w:rPr>
      </w:pPr>
      <w:r w:rsidRPr="00725A15">
        <w:rPr>
          <w:rStyle w:val="Appelnotedebasdep"/>
          <w:rFonts w:ascii="Arial" w:hAnsi="Arial" w:cs="Arial"/>
          <w:sz w:val="18"/>
          <w:szCs w:val="18"/>
        </w:rPr>
        <w:footnoteRef/>
      </w:r>
      <w:r w:rsidRPr="00725A15">
        <w:rPr>
          <w:rFonts w:ascii="Arial" w:hAnsi="Arial" w:cs="Arial"/>
          <w:sz w:val="18"/>
          <w:szCs w:val="18"/>
        </w:rPr>
        <w:t xml:space="preserve"> </w:t>
      </w:r>
      <w:r w:rsidRPr="00725A15">
        <w:rPr>
          <w:rFonts w:ascii="Arial" w:hAnsi="Arial" w:cs="Arial"/>
          <w:sz w:val="18"/>
          <w:szCs w:val="18"/>
        </w:rPr>
        <w:t>Relation qui, dans certaines circonstances, peut être bénéfique et, dans d'autres circonstances, peut être</w:t>
      </w:r>
      <w:r w:rsidRPr="00725A15">
        <w:rPr>
          <w:rFonts w:ascii="Arial" w:hAnsi="Arial" w:cs="Arial"/>
          <w:sz w:val="18"/>
          <w:szCs w:val="18"/>
        </w:rPr>
        <w:t xml:space="preserve"> </w:t>
      </w:r>
      <w:r w:rsidRPr="00725A15">
        <w:rPr>
          <w:rFonts w:ascii="Arial" w:hAnsi="Arial" w:cs="Arial"/>
          <w:sz w:val="18"/>
          <w:szCs w:val="18"/>
        </w:rPr>
        <w:t>nocive</w:t>
      </w:r>
      <w:r w:rsidRPr="00725A15">
        <w:rPr>
          <w:rFonts w:ascii="Arial" w:hAnsi="Arial" w:cs="Arial"/>
          <w:sz w:val="18"/>
          <w:szCs w:val="18"/>
        </w:rPr>
        <w:t>.</w:t>
      </w:r>
    </w:p>
  </w:footnote>
  <w:footnote w:id="2">
    <w:p w:rsidR="00725A15" w:rsidRDefault="00725A15" w:rsidP="00725A15">
      <w:pPr>
        <w:pStyle w:val="Notedebasdepage"/>
        <w:spacing w:line="276" w:lineRule="auto"/>
        <w:jc w:val="both"/>
      </w:pPr>
      <w:r w:rsidRPr="00725A15">
        <w:rPr>
          <w:rStyle w:val="Appelnotedebasdep"/>
          <w:rFonts w:ascii="Arial" w:hAnsi="Arial" w:cs="Arial"/>
          <w:sz w:val="18"/>
          <w:szCs w:val="18"/>
        </w:rPr>
        <w:footnoteRef/>
      </w:r>
      <w:r w:rsidRPr="00725A15">
        <w:rPr>
          <w:rFonts w:ascii="Arial" w:hAnsi="Arial" w:cs="Arial"/>
          <w:sz w:val="18"/>
          <w:szCs w:val="18"/>
        </w:rPr>
        <w:t xml:space="preserve"> Qui existe depuis un ou plusieurs siècles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29"/>
    <w:rsid w:val="006F114F"/>
    <w:rsid w:val="00725A15"/>
    <w:rsid w:val="009942B4"/>
    <w:rsid w:val="00CC5F08"/>
    <w:rsid w:val="00E46929"/>
    <w:rsid w:val="00E50E8A"/>
    <w:rsid w:val="00F61EF4"/>
    <w:rsid w:val="00FF4E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CFEF207"/>
  <w15:chartTrackingRefBased/>
  <w15:docId w15:val="{84145DB6-8D8B-7D4C-A750-D93C048E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25A15"/>
    <w:rPr>
      <w:sz w:val="20"/>
      <w:szCs w:val="20"/>
    </w:rPr>
  </w:style>
  <w:style w:type="character" w:customStyle="1" w:styleId="NotedebasdepageCar">
    <w:name w:val="Note de bas de page Car"/>
    <w:basedOn w:val="Policepardfaut"/>
    <w:link w:val="Notedebasdepage"/>
    <w:uiPriority w:val="99"/>
    <w:semiHidden/>
    <w:rsid w:val="00725A15"/>
    <w:rPr>
      <w:sz w:val="20"/>
      <w:szCs w:val="20"/>
    </w:rPr>
  </w:style>
  <w:style w:type="character" w:styleId="Appelnotedebasdep">
    <w:name w:val="footnote reference"/>
    <w:basedOn w:val="Policepardfaut"/>
    <w:uiPriority w:val="99"/>
    <w:semiHidden/>
    <w:unhideWhenUsed/>
    <w:rsid w:val="00725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93575-7448-9A4F-B651-998C3226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735</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bourdelle</dc:creator>
  <cp:keywords/>
  <dc:description/>
  <cp:lastModifiedBy>edouard bourdelle</cp:lastModifiedBy>
  <cp:revision>4</cp:revision>
  <dcterms:created xsi:type="dcterms:W3CDTF">2025-08-10T16:26:00Z</dcterms:created>
  <dcterms:modified xsi:type="dcterms:W3CDTF">2025-11-03T15:23:00Z</dcterms:modified>
</cp:coreProperties>
</file>