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E657" w14:textId="77777777" w:rsidR="00C644BE" w:rsidRPr="00CC79BD" w:rsidRDefault="00C644BE" w:rsidP="00C644BE">
      <w:pPr>
        <w:pStyle w:val="Sansinterligne"/>
      </w:pPr>
      <w:r w:rsidRPr="00CC79BD">
        <w:t>BCPST</w:t>
      </w:r>
    </w:p>
    <w:p w14:paraId="6BF87364" w14:textId="77777777" w:rsidR="00C644BE" w:rsidRDefault="00C644BE" w:rsidP="00C644BE">
      <w:pPr>
        <w:pStyle w:val="Sansinterligne"/>
        <w:rPr>
          <w:b/>
          <w:bCs/>
        </w:rPr>
      </w:pPr>
    </w:p>
    <w:p w14:paraId="356FB0B9" w14:textId="77777777" w:rsidR="00C644BE" w:rsidRPr="00CC79BD" w:rsidRDefault="00C644BE" w:rsidP="00C644BE">
      <w:pPr>
        <w:pStyle w:val="Sansinterligne"/>
        <w:jc w:val="center"/>
        <w:rPr>
          <w:b/>
          <w:bCs/>
          <w:sz w:val="28"/>
          <w:szCs w:val="28"/>
        </w:rPr>
      </w:pPr>
      <w:r w:rsidRPr="00CC79BD">
        <w:rPr>
          <w:b/>
          <w:bCs/>
          <w:sz w:val="28"/>
          <w:szCs w:val="28"/>
        </w:rPr>
        <w:t>ÉPREUVE « HUMANITÉS »</w:t>
      </w:r>
    </w:p>
    <w:p w14:paraId="18DB8A8B" w14:textId="77777777" w:rsidR="00C644BE" w:rsidRPr="00CC79BD" w:rsidRDefault="00C644BE" w:rsidP="00C644BE">
      <w:pPr>
        <w:pStyle w:val="Sansinterligne"/>
        <w:jc w:val="center"/>
        <w:rPr>
          <w:b/>
          <w:bCs/>
          <w:sz w:val="28"/>
          <w:szCs w:val="28"/>
        </w:rPr>
      </w:pPr>
      <w:r w:rsidRPr="00CC79BD">
        <w:rPr>
          <w:b/>
          <w:bCs/>
          <w:sz w:val="28"/>
          <w:szCs w:val="28"/>
        </w:rPr>
        <w:t>Composition Française</w:t>
      </w:r>
    </w:p>
    <w:p w14:paraId="395EA819" w14:textId="77777777" w:rsidR="00C644BE" w:rsidRDefault="00C644BE" w:rsidP="00C644BE">
      <w:pPr>
        <w:pStyle w:val="Sansinterligne"/>
        <w:rPr>
          <w:b/>
          <w:bCs/>
        </w:rPr>
      </w:pPr>
    </w:p>
    <w:p w14:paraId="7F63AA5C" w14:textId="77777777" w:rsidR="00C644BE" w:rsidRDefault="00C644BE" w:rsidP="00C644BE">
      <w:pPr>
        <w:pStyle w:val="Sansinterligne"/>
        <w:rPr>
          <w:b/>
          <w:bCs/>
        </w:rPr>
      </w:pPr>
    </w:p>
    <w:p w14:paraId="2D8B7F1D" w14:textId="77777777" w:rsidR="00C644BE" w:rsidRPr="00CC79BD" w:rsidRDefault="00C644BE" w:rsidP="00C644BE">
      <w:pPr>
        <w:pStyle w:val="Sansinterligne"/>
        <w:numPr>
          <w:ilvl w:val="0"/>
          <w:numId w:val="1"/>
        </w:numPr>
        <w:rPr>
          <w:b/>
          <w:bCs/>
          <w:szCs w:val="24"/>
        </w:rPr>
      </w:pPr>
      <w:r w:rsidRPr="00CC79BD">
        <w:rPr>
          <w:b/>
          <w:bCs/>
          <w:szCs w:val="24"/>
          <w:highlight w:val="lightGray"/>
        </w:rPr>
        <w:t>DÉFINITION</w:t>
      </w:r>
    </w:p>
    <w:p w14:paraId="5B984065" w14:textId="77777777" w:rsidR="00C644BE" w:rsidRDefault="00C644BE" w:rsidP="00C644BE">
      <w:pPr>
        <w:pStyle w:val="Sansinterligne"/>
        <w:rPr>
          <w:b/>
          <w:bCs/>
        </w:rPr>
      </w:pPr>
    </w:p>
    <w:p w14:paraId="7AEB39C1" w14:textId="77777777" w:rsidR="00C644BE" w:rsidRPr="00A33C5C" w:rsidRDefault="00C644BE" w:rsidP="00C644BE">
      <w:pPr>
        <w:pStyle w:val="Sansinterligne"/>
      </w:pPr>
      <w:r w:rsidRPr="00A33C5C">
        <w:t>https://www.concours-agro-veto.net/spip.php?rubrique257</w:t>
      </w:r>
    </w:p>
    <w:p w14:paraId="2D13A3DD" w14:textId="77777777" w:rsidR="00C644BE" w:rsidRDefault="00C644BE" w:rsidP="00C644BE">
      <w:pPr>
        <w:pStyle w:val="Sansinterligne"/>
      </w:pPr>
    </w:p>
    <w:p w14:paraId="65822DC6" w14:textId="77777777" w:rsidR="00C644BE" w:rsidRPr="00A33C5C" w:rsidRDefault="00C644BE" w:rsidP="00C644BE">
      <w:pPr>
        <w:pStyle w:val="Sansinterligne"/>
        <w:rPr>
          <w:b/>
          <w:bCs/>
          <w:i/>
          <w:iCs/>
        </w:rPr>
      </w:pPr>
      <w:r w:rsidRPr="00A33C5C">
        <w:rPr>
          <w:b/>
          <w:bCs/>
          <w:i/>
          <w:iCs/>
        </w:rPr>
        <w:t>Humanités (3 h)</w:t>
      </w:r>
    </w:p>
    <w:p w14:paraId="4E22F2A0" w14:textId="77777777" w:rsidR="00C644BE" w:rsidRPr="00A33C5C" w:rsidRDefault="00C644BE" w:rsidP="00C644BE">
      <w:pPr>
        <w:pStyle w:val="Sansinterligne"/>
        <w:rPr>
          <w:i/>
          <w:iCs/>
        </w:rPr>
      </w:pPr>
      <w:r w:rsidRPr="00A33C5C">
        <w:rPr>
          <w:i/>
          <w:iCs/>
        </w:rPr>
        <w:t>Cette épreuve porte sur le programme de français et de philosophie des classes préparatoires pour l’année en cours. Elle permet d’apprécier chez les candidats, outre l’indispensable connaissance des œuvres, la pertinence de la réflexion, la qualité de l’expression et la faculté d’organiser leur pensée.</w:t>
      </w:r>
    </w:p>
    <w:p w14:paraId="2DC2BAF8" w14:textId="77777777" w:rsidR="00C644BE" w:rsidRPr="00A33C5C" w:rsidRDefault="00C644BE" w:rsidP="00C644BE">
      <w:pPr>
        <w:pStyle w:val="Sansinterligne"/>
        <w:rPr>
          <w:i/>
          <w:iCs/>
        </w:rPr>
      </w:pPr>
      <w:r w:rsidRPr="00A33C5C">
        <w:rPr>
          <w:i/>
          <w:iCs/>
        </w:rPr>
        <w:t>Le sujet se présente sous la forme d’une citation suivie d’une consigne. La dissertation est notée sur 20 points.</w:t>
      </w:r>
    </w:p>
    <w:p w14:paraId="228B8394" w14:textId="77777777" w:rsidR="00C644BE" w:rsidRDefault="00C644BE" w:rsidP="00C644BE">
      <w:pPr>
        <w:pStyle w:val="Sansinterligne"/>
        <w:rPr>
          <w:szCs w:val="24"/>
        </w:rPr>
      </w:pPr>
    </w:p>
    <w:p w14:paraId="5D43832E" w14:textId="77777777" w:rsidR="00C644BE" w:rsidRDefault="00C644BE" w:rsidP="00C644BE">
      <w:pPr>
        <w:pStyle w:val="Sansinterligne"/>
        <w:rPr>
          <w:b/>
          <w:bCs/>
        </w:rPr>
      </w:pPr>
      <w:bookmarkStart w:id="0" w:name="_Toc144545248"/>
      <w:r w:rsidRPr="002F5A5C">
        <w:rPr>
          <w:b/>
          <w:bCs/>
          <w:highlight w:val="lightGray"/>
        </w:rPr>
        <w:t>Les énoncés de dissertation depuis 201</w:t>
      </w:r>
      <w:bookmarkEnd w:id="0"/>
      <w:r w:rsidRPr="002F5A5C">
        <w:rPr>
          <w:b/>
          <w:bCs/>
          <w:highlight w:val="lightGray"/>
        </w:rPr>
        <w:t>9</w:t>
      </w:r>
    </w:p>
    <w:p w14:paraId="020C6151" w14:textId="77777777" w:rsidR="00C644BE" w:rsidRDefault="00C644BE" w:rsidP="00C644BE">
      <w:pPr>
        <w:pStyle w:val="Sansinterligne"/>
        <w:rPr>
          <w:szCs w:val="24"/>
        </w:rPr>
      </w:pPr>
    </w:p>
    <w:p w14:paraId="2FFE1F97" w14:textId="77777777" w:rsidR="00C644BE" w:rsidRPr="00DB247D" w:rsidRDefault="00C644BE" w:rsidP="00C644BE">
      <w:pPr>
        <w:pStyle w:val="Sansinterligne"/>
        <w:rPr>
          <w:b/>
          <w:bCs/>
          <w:sz w:val="22"/>
        </w:rPr>
      </w:pPr>
      <w:r w:rsidRPr="00DB247D">
        <w:rPr>
          <w:b/>
          <w:bCs/>
          <w:sz w:val="22"/>
        </w:rPr>
        <w:t xml:space="preserve">2022-2023 « Le travail » </w:t>
      </w:r>
    </w:p>
    <w:p w14:paraId="430EC26B" w14:textId="77777777" w:rsidR="00C644BE" w:rsidRPr="00DB247D" w:rsidRDefault="00C644BE" w:rsidP="00C644BE">
      <w:pPr>
        <w:pStyle w:val="Sansinterligne"/>
        <w:rPr>
          <w:sz w:val="22"/>
        </w:rPr>
      </w:pPr>
      <w:r w:rsidRPr="00DB247D">
        <w:rPr>
          <w:sz w:val="22"/>
        </w:rPr>
        <w:t>« La servitude est volontaire</w:t>
      </w:r>
    </w:p>
    <w:p w14:paraId="28455631" w14:textId="77777777" w:rsidR="00C644BE" w:rsidRPr="00DB247D" w:rsidRDefault="00C644BE" w:rsidP="00C644BE">
      <w:pPr>
        <w:pStyle w:val="Sansinterligne"/>
        <w:rPr>
          <w:sz w:val="22"/>
        </w:rPr>
      </w:pPr>
      <w:r w:rsidRPr="00DB247D">
        <w:rPr>
          <w:sz w:val="22"/>
        </w:rPr>
        <w:t>Presque heureuse</w:t>
      </w:r>
    </w:p>
    <w:p w14:paraId="07086F0B" w14:textId="77777777" w:rsidR="00C644BE" w:rsidRPr="00DB247D" w:rsidRDefault="00C644BE" w:rsidP="00C644BE">
      <w:pPr>
        <w:pStyle w:val="Sansinterligne"/>
        <w:rPr>
          <w:sz w:val="22"/>
        </w:rPr>
      </w:pPr>
      <w:r w:rsidRPr="00DB247D">
        <w:rPr>
          <w:sz w:val="22"/>
        </w:rPr>
        <w:t>L’usine m’a eu</w:t>
      </w:r>
    </w:p>
    <w:p w14:paraId="6998B948" w14:textId="77777777" w:rsidR="00C644BE" w:rsidRPr="00DB247D" w:rsidRDefault="00C644BE" w:rsidP="00C644BE">
      <w:pPr>
        <w:pStyle w:val="Sansinterligne"/>
        <w:rPr>
          <w:sz w:val="22"/>
        </w:rPr>
      </w:pPr>
      <w:r w:rsidRPr="00DB247D">
        <w:rPr>
          <w:sz w:val="22"/>
        </w:rPr>
        <w:t>Je n’en parle plus qu’en disant</w:t>
      </w:r>
    </w:p>
    <w:p w14:paraId="2308F984" w14:textId="77777777" w:rsidR="00C644BE" w:rsidRPr="00DB247D" w:rsidRDefault="00C644BE" w:rsidP="00C644BE">
      <w:pPr>
        <w:pStyle w:val="Sansinterligne"/>
        <w:rPr>
          <w:sz w:val="22"/>
        </w:rPr>
      </w:pPr>
      <w:r w:rsidRPr="00DB247D">
        <w:rPr>
          <w:sz w:val="22"/>
        </w:rPr>
        <w:t>Mon usine »</w:t>
      </w:r>
    </w:p>
    <w:p w14:paraId="2A59082F" w14:textId="77777777" w:rsidR="00C644BE" w:rsidRPr="00DB247D" w:rsidRDefault="00C644BE" w:rsidP="00C644BE">
      <w:pPr>
        <w:pStyle w:val="Sansinterligne"/>
        <w:rPr>
          <w:sz w:val="22"/>
        </w:rPr>
      </w:pPr>
      <w:r w:rsidRPr="00DB247D">
        <w:rPr>
          <w:sz w:val="22"/>
        </w:rPr>
        <w:t xml:space="preserve">Joseph </w:t>
      </w:r>
      <w:proofErr w:type="spellStart"/>
      <w:r w:rsidRPr="00DB247D">
        <w:rPr>
          <w:sz w:val="22"/>
        </w:rPr>
        <w:t>Ponthus</w:t>
      </w:r>
      <w:proofErr w:type="spellEnd"/>
      <w:r w:rsidRPr="00DB247D">
        <w:rPr>
          <w:sz w:val="22"/>
        </w:rPr>
        <w:t>, À la ligne, Paris, 2019.</w:t>
      </w:r>
    </w:p>
    <w:p w14:paraId="349BB4A3" w14:textId="77777777" w:rsidR="00C644BE" w:rsidRPr="00DB247D" w:rsidRDefault="00C644BE" w:rsidP="00C644BE">
      <w:pPr>
        <w:pStyle w:val="Sansinterligne"/>
        <w:rPr>
          <w:i/>
          <w:iCs/>
          <w:sz w:val="22"/>
        </w:rPr>
      </w:pPr>
      <w:r w:rsidRPr="00DB247D">
        <w:rPr>
          <w:i/>
          <w:iCs/>
          <w:sz w:val="22"/>
        </w:rPr>
        <w:t>Dans quelle mesure ces vers vous conduisent-ils à approfondir votre réflexion sur l’expérience du travail, telle que les trois œuvres au programme, Les Géorgiques de Virgile, La Condition ouvrière de Simone Weil et Par-dessus bord de Michel Vinaver, permettent de la penser ?</w:t>
      </w:r>
    </w:p>
    <w:p w14:paraId="546DA895" w14:textId="77777777" w:rsidR="00C644BE" w:rsidRPr="00DB247D" w:rsidRDefault="00C644BE" w:rsidP="00C644BE">
      <w:pPr>
        <w:pStyle w:val="Sansinterligne"/>
        <w:rPr>
          <w:sz w:val="22"/>
        </w:rPr>
      </w:pPr>
    </w:p>
    <w:p w14:paraId="0DE92E07" w14:textId="77777777" w:rsidR="00C644BE" w:rsidRPr="00DB247D" w:rsidRDefault="00C644BE" w:rsidP="00C644BE">
      <w:pPr>
        <w:pStyle w:val="Sansinterligne"/>
        <w:rPr>
          <w:b/>
          <w:bCs/>
          <w:sz w:val="22"/>
        </w:rPr>
      </w:pPr>
      <w:r w:rsidRPr="00DB247D">
        <w:rPr>
          <w:b/>
          <w:bCs/>
          <w:sz w:val="22"/>
        </w:rPr>
        <w:t>2021-2022</w:t>
      </w:r>
      <w:r w:rsidRPr="00DB247D">
        <w:rPr>
          <w:rFonts w:eastAsiaTheme="minorEastAsia"/>
          <w:b/>
          <w:bCs/>
          <w:sz w:val="22"/>
        </w:rPr>
        <w:t xml:space="preserve"> </w:t>
      </w:r>
      <w:r w:rsidRPr="00DB247D">
        <w:rPr>
          <w:b/>
          <w:bCs/>
          <w:sz w:val="22"/>
        </w:rPr>
        <w:t>« L’enfance »</w:t>
      </w:r>
      <w:r w:rsidRPr="00DB247D">
        <w:rPr>
          <w:rFonts w:eastAsiaTheme="minorEastAsia"/>
          <w:b/>
          <w:bCs/>
          <w:sz w:val="22"/>
        </w:rPr>
        <w:t xml:space="preserve"> </w:t>
      </w:r>
    </w:p>
    <w:p w14:paraId="45978A79" w14:textId="77777777" w:rsidR="00C644BE" w:rsidRPr="00DB247D" w:rsidRDefault="00C644BE" w:rsidP="00C644BE">
      <w:pPr>
        <w:pStyle w:val="Sansinterligne"/>
        <w:rPr>
          <w:sz w:val="22"/>
        </w:rPr>
      </w:pPr>
      <w:r w:rsidRPr="00DB247D">
        <w:rPr>
          <w:sz w:val="22"/>
        </w:rPr>
        <w:t>« Éduquer, c’est préserver la part d’innocence naturelle de l’enfant, laisser du temps, ne pas brusquer. »</w:t>
      </w:r>
    </w:p>
    <w:p w14:paraId="61A82C2E" w14:textId="77777777" w:rsidR="00C644BE" w:rsidRPr="00DB247D" w:rsidRDefault="00C644BE" w:rsidP="00C644BE">
      <w:pPr>
        <w:pStyle w:val="Sansinterligne"/>
        <w:rPr>
          <w:sz w:val="22"/>
        </w:rPr>
      </w:pPr>
      <w:r w:rsidRPr="00DB247D">
        <w:rPr>
          <w:sz w:val="22"/>
        </w:rPr>
        <w:t>Pascal Picq, Nouvelle histoire de l’Homme, Paris, 2005.</w:t>
      </w:r>
    </w:p>
    <w:p w14:paraId="0BB3D3F4" w14:textId="77777777" w:rsidR="00C644BE" w:rsidRPr="00DB247D" w:rsidRDefault="00C644BE" w:rsidP="00C644BE">
      <w:pPr>
        <w:pStyle w:val="Sansinterligne"/>
        <w:rPr>
          <w:i/>
          <w:iCs/>
          <w:sz w:val="22"/>
        </w:rPr>
      </w:pPr>
      <w:r w:rsidRPr="00DB247D">
        <w:rPr>
          <w:i/>
          <w:iCs/>
          <w:sz w:val="22"/>
        </w:rPr>
        <w:t>En quoi cette affirmation vous permet-elle d’approfondir votre réflexion sur l’enfance et votre lecture des œuvres au programme, Émile ou De l’éducation (livres I et II) de Jean-Jacques Rousseau, les Contes d’Hans Christian Andersen et Aké, les années d’enfance de Wole Soyinka ?</w:t>
      </w:r>
    </w:p>
    <w:p w14:paraId="0CD6F90E" w14:textId="77777777" w:rsidR="00C644BE" w:rsidRPr="00DB247D" w:rsidRDefault="00C644BE" w:rsidP="00C644BE">
      <w:pPr>
        <w:pStyle w:val="Sansinterligne"/>
        <w:rPr>
          <w:sz w:val="22"/>
        </w:rPr>
      </w:pPr>
    </w:p>
    <w:p w14:paraId="2E1D5784" w14:textId="77777777" w:rsidR="00C644BE" w:rsidRPr="00DB247D" w:rsidRDefault="00C644BE" w:rsidP="00C644BE">
      <w:pPr>
        <w:pStyle w:val="Sansinterligne"/>
        <w:rPr>
          <w:b/>
          <w:bCs/>
          <w:sz w:val="22"/>
        </w:rPr>
      </w:pPr>
      <w:r w:rsidRPr="00DB247D">
        <w:rPr>
          <w:b/>
          <w:bCs/>
          <w:sz w:val="22"/>
        </w:rPr>
        <w:t>2020-2021</w:t>
      </w:r>
      <w:r w:rsidRPr="00DB247D">
        <w:rPr>
          <w:rFonts w:eastAsiaTheme="minorEastAsia"/>
          <w:b/>
          <w:bCs/>
          <w:sz w:val="22"/>
        </w:rPr>
        <w:t xml:space="preserve"> </w:t>
      </w:r>
      <w:r w:rsidRPr="00DB247D">
        <w:rPr>
          <w:b/>
          <w:bCs/>
          <w:sz w:val="22"/>
        </w:rPr>
        <w:t>« La force de vivre »</w:t>
      </w:r>
      <w:r w:rsidRPr="00DB247D">
        <w:rPr>
          <w:rFonts w:eastAsiaTheme="minorEastAsia"/>
          <w:b/>
          <w:bCs/>
          <w:sz w:val="22"/>
        </w:rPr>
        <w:t xml:space="preserve"> </w:t>
      </w:r>
    </w:p>
    <w:p w14:paraId="36B33D18" w14:textId="77777777" w:rsidR="00C644BE" w:rsidRPr="00DB247D" w:rsidRDefault="00C644BE" w:rsidP="00C644BE">
      <w:pPr>
        <w:pStyle w:val="Sansinterligne"/>
        <w:rPr>
          <w:rFonts w:eastAsiaTheme="minorEastAsia"/>
          <w:sz w:val="22"/>
        </w:rPr>
      </w:pPr>
      <w:r w:rsidRPr="00DB247D">
        <w:rPr>
          <w:rFonts w:eastAsiaTheme="minorEastAsia"/>
          <w:sz w:val="22"/>
        </w:rPr>
        <w:t xml:space="preserve">« Donner du sens à sa vie est le meilleur moyen de survivre, de se reconstruire après une épreuve, de déployer pleinement tout notre potentiel vital pour grandir en humanité. » </w:t>
      </w:r>
    </w:p>
    <w:p w14:paraId="153B88E7" w14:textId="77777777" w:rsidR="00C644BE" w:rsidRPr="00DB247D" w:rsidRDefault="00C644BE" w:rsidP="00C644BE">
      <w:pPr>
        <w:pStyle w:val="Sansinterligne"/>
        <w:rPr>
          <w:rFonts w:eastAsiaTheme="minorEastAsia"/>
          <w:sz w:val="22"/>
        </w:rPr>
      </w:pPr>
      <w:r w:rsidRPr="00DB247D">
        <w:rPr>
          <w:rFonts w:eastAsiaTheme="minorEastAsia"/>
          <w:sz w:val="22"/>
        </w:rPr>
        <w:t>Frédéric Lenoir, Vivre ! dans un monde imprévisible, Fayard, 2020 (pp. 90-91)</w:t>
      </w:r>
    </w:p>
    <w:p w14:paraId="27FFCED3" w14:textId="77777777" w:rsidR="00C644BE" w:rsidRPr="00DB247D" w:rsidRDefault="00C644BE" w:rsidP="00C644BE">
      <w:pPr>
        <w:pStyle w:val="Sansinterligne"/>
        <w:rPr>
          <w:rFonts w:eastAsiaTheme="minorEastAsia"/>
          <w:i/>
          <w:iCs/>
          <w:sz w:val="22"/>
        </w:rPr>
      </w:pPr>
      <w:r w:rsidRPr="00DB247D">
        <w:rPr>
          <w:rFonts w:eastAsiaTheme="minorEastAsia"/>
          <w:i/>
          <w:iCs/>
          <w:sz w:val="22"/>
        </w:rPr>
        <w:t>En quoi cette affirmation vous permet-elle d’approfondir votre réflexion sur la force de vivre et votre lecture des œuvres au programme, Les Contemplations (livres IV et V) de Victor Hugo, Le Gai Savoir (préface et livre IV) de Friedrich Nietzsche et La Supplication de Svetlana Alexievitch ?</w:t>
      </w:r>
    </w:p>
    <w:p w14:paraId="1BAE4461" w14:textId="77777777" w:rsidR="00C644BE" w:rsidRPr="00DB247D" w:rsidRDefault="00C644BE" w:rsidP="00C644BE">
      <w:pPr>
        <w:pStyle w:val="Sansinterligne"/>
        <w:rPr>
          <w:sz w:val="22"/>
        </w:rPr>
      </w:pPr>
    </w:p>
    <w:p w14:paraId="0781FAE8" w14:textId="77777777" w:rsidR="00C644BE" w:rsidRPr="00DB247D" w:rsidRDefault="00C644BE" w:rsidP="00C644BE">
      <w:pPr>
        <w:pStyle w:val="Sansinterligne"/>
        <w:rPr>
          <w:b/>
          <w:bCs/>
          <w:sz w:val="22"/>
        </w:rPr>
      </w:pPr>
      <w:r w:rsidRPr="00DB247D">
        <w:rPr>
          <w:b/>
          <w:bCs/>
          <w:sz w:val="22"/>
        </w:rPr>
        <w:t>2019-2020</w:t>
      </w:r>
      <w:r w:rsidRPr="00DB247D">
        <w:rPr>
          <w:rFonts w:eastAsiaTheme="minorEastAsia"/>
          <w:b/>
          <w:bCs/>
          <w:sz w:val="22"/>
        </w:rPr>
        <w:t xml:space="preserve"> </w:t>
      </w:r>
      <w:r w:rsidRPr="00DB247D">
        <w:rPr>
          <w:b/>
          <w:bCs/>
          <w:sz w:val="22"/>
        </w:rPr>
        <w:t>« La démocratie »</w:t>
      </w:r>
      <w:r w:rsidRPr="00DB247D">
        <w:rPr>
          <w:rFonts w:eastAsiaTheme="minorEastAsia"/>
          <w:b/>
          <w:bCs/>
          <w:sz w:val="22"/>
        </w:rPr>
        <w:t xml:space="preserve"> </w:t>
      </w:r>
    </w:p>
    <w:p w14:paraId="20835C91" w14:textId="77777777" w:rsidR="00C644BE" w:rsidRPr="00DB247D" w:rsidRDefault="00C644BE" w:rsidP="00C644BE">
      <w:pPr>
        <w:pStyle w:val="Sansinterligne"/>
        <w:rPr>
          <w:sz w:val="22"/>
        </w:rPr>
      </w:pPr>
      <w:r w:rsidRPr="00DB247D">
        <w:rPr>
          <w:sz w:val="22"/>
        </w:rPr>
        <w:t xml:space="preserve">« La démocratie trouve un précieux auxiliaire dans le rejet de toutes les formes monopolistiques, oligarchiques ou démagogiques, de la politique. Mais sa signification profonde ne lui vient pas de l’organisation institutionnelle des États. Parce qu’elle est une « manière de vivre », une manière d’être ensemble, chacun, en elle, porte sa part de responsabilité. » </w:t>
      </w:r>
    </w:p>
    <w:p w14:paraId="6A82E8AF" w14:textId="77777777" w:rsidR="00C644BE" w:rsidRPr="00DB247D" w:rsidRDefault="00C644BE" w:rsidP="00C644BE">
      <w:pPr>
        <w:pStyle w:val="Sansinterligne"/>
        <w:rPr>
          <w:sz w:val="22"/>
        </w:rPr>
      </w:pPr>
      <w:r w:rsidRPr="00DB247D">
        <w:rPr>
          <w:sz w:val="22"/>
        </w:rPr>
        <w:t xml:space="preserve">Simone </w:t>
      </w:r>
      <w:proofErr w:type="spellStart"/>
      <w:r w:rsidRPr="00DB247D">
        <w:rPr>
          <w:sz w:val="22"/>
        </w:rPr>
        <w:t>Goyard</w:t>
      </w:r>
      <w:proofErr w:type="spellEnd"/>
      <w:r w:rsidRPr="00DB247D">
        <w:rPr>
          <w:sz w:val="22"/>
        </w:rPr>
        <w:t>-Fabre, Éléments de philosophie politique, Armand Colin, 1996, p. 124.</w:t>
      </w:r>
    </w:p>
    <w:p w14:paraId="3B2582C0" w14:textId="77777777" w:rsidR="00C644BE" w:rsidRPr="00DB247D" w:rsidRDefault="00C644BE" w:rsidP="00C644BE">
      <w:pPr>
        <w:pStyle w:val="Sansinterligne"/>
        <w:rPr>
          <w:i/>
          <w:iCs/>
          <w:sz w:val="22"/>
        </w:rPr>
      </w:pPr>
      <w:r w:rsidRPr="00DB247D">
        <w:rPr>
          <w:i/>
          <w:iCs/>
          <w:sz w:val="22"/>
        </w:rPr>
        <w:t xml:space="preserve">Cette réflexion de Simone </w:t>
      </w:r>
      <w:proofErr w:type="spellStart"/>
      <w:r w:rsidRPr="00DB247D">
        <w:rPr>
          <w:i/>
          <w:iCs/>
          <w:sz w:val="22"/>
        </w:rPr>
        <w:t>Goyard</w:t>
      </w:r>
      <w:proofErr w:type="spellEnd"/>
      <w:r w:rsidRPr="00DB247D">
        <w:rPr>
          <w:i/>
          <w:iCs/>
          <w:sz w:val="22"/>
        </w:rPr>
        <w:t>-Fabre correspond-elle à votre lecture des ouvrages Les Cavaliers et L’Assemblée des femmes d’Aristophane, De la démocratie en Amérique (tome II, partie IV) d’Alexis de Tocqueville et Le Complot contre l’Amérique de Philip Roth ?</w:t>
      </w:r>
    </w:p>
    <w:p w14:paraId="2915DF49" w14:textId="77777777" w:rsidR="00C644BE" w:rsidRPr="00DB247D" w:rsidRDefault="00C644BE" w:rsidP="00C644BE">
      <w:pPr>
        <w:pStyle w:val="Sansinterligne"/>
        <w:rPr>
          <w:sz w:val="22"/>
        </w:rPr>
      </w:pPr>
    </w:p>
    <w:p w14:paraId="4723BDB3" w14:textId="77777777" w:rsidR="00C644BE" w:rsidRPr="00DB247D" w:rsidRDefault="00C644BE" w:rsidP="00C644BE">
      <w:pPr>
        <w:pStyle w:val="Sansinterligne"/>
        <w:rPr>
          <w:b/>
          <w:bCs/>
          <w:sz w:val="22"/>
        </w:rPr>
      </w:pPr>
      <w:r w:rsidRPr="00DB247D">
        <w:rPr>
          <w:b/>
          <w:bCs/>
          <w:sz w:val="22"/>
        </w:rPr>
        <w:t>2018-2019</w:t>
      </w:r>
      <w:r w:rsidRPr="00DB247D">
        <w:rPr>
          <w:rFonts w:eastAsiaTheme="minorEastAsia"/>
          <w:b/>
          <w:bCs/>
          <w:sz w:val="22"/>
        </w:rPr>
        <w:t xml:space="preserve"> </w:t>
      </w:r>
      <w:r w:rsidRPr="00DB247D">
        <w:rPr>
          <w:b/>
          <w:bCs/>
          <w:sz w:val="22"/>
        </w:rPr>
        <w:t>« L’amour »</w:t>
      </w:r>
      <w:r w:rsidRPr="00DB247D">
        <w:rPr>
          <w:rFonts w:eastAsiaTheme="minorEastAsia"/>
          <w:b/>
          <w:bCs/>
          <w:sz w:val="22"/>
        </w:rPr>
        <w:t xml:space="preserve"> </w:t>
      </w:r>
    </w:p>
    <w:p w14:paraId="41314F20" w14:textId="77777777" w:rsidR="00C644BE" w:rsidRPr="00DB247D" w:rsidRDefault="00C644BE" w:rsidP="00C644BE">
      <w:pPr>
        <w:pStyle w:val="Sansinterligne"/>
        <w:rPr>
          <w:rFonts w:eastAsiaTheme="minorEastAsia"/>
          <w:sz w:val="22"/>
        </w:rPr>
      </w:pPr>
      <w:r w:rsidRPr="00DB247D">
        <w:rPr>
          <w:rFonts w:eastAsiaTheme="minorEastAsia"/>
          <w:sz w:val="22"/>
        </w:rPr>
        <w:lastRenderedPageBreak/>
        <w:t>« Nous n’appelons amour ce qui nous lie à certains êtres que par référence à une façon de voir collective et dont les livres et les légendes sont responsables. Mais de l’amour, je ne connais que ce mélange de désir, de tendresse et d’intelligence qui me lie à tel être. Ce composé n’est pas le même pour tel autre. Je n’ai pas le droit de recouvrir toutes ces expériences du même nom. »</w:t>
      </w:r>
    </w:p>
    <w:p w14:paraId="1BB542F6" w14:textId="77777777" w:rsidR="00C644BE" w:rsidRPr="00DB247D" w:rsidRDefault="00C644BE" w:rsidP="00C644BE">
      <w:pPr>
        <w:pStyle w:val="Sansinterligne"/>
        <w:rPr>
          <w:rFonts w:eastAsiaTheme="minorEastAsia"/>
          <w:i/>
          <w:iCs/>
          <w:sz w:val="22"/>
        </w:rPr>
      </w:pPr>
      <w:r w:rsidRPr="00DB247D">
        <w:rPr>
          <w:rFonts w:eastAsiaTheme="minorEastAsia"/>
          <w:i/>
          <w:iCs/>
          <w:sz w:val="22"/>
        </w:rPr>
        <w:t xml:space="preserve">Cette opinion énoncée par Albert Camus dans Le Mythe de Sisyphe (Gallimard, « </w:t>
      </w:r>
      <w:proofErr w:type="spellStart"/>
      <w:r w:rsidRPr="00DB247D">
        <w:rPr>
          <w:rFonts w:eastAsiaTheme="minorEastAsia"/>
          <w:i/>
          <w:iCs/>
          <w:sz w:val="22"/>
        </w:rPr>
        <w:t>nrf</w:t>
      </w:r>
      <w:proofErr w:type="spellEnd"/>
      <w:r w:rsidRPr="00DB247D">
        <w:rPr>
          <w:rFonts w:eastAsiaTheme="minorEastAsia"/>
          <w:i/>
          <w:iCs/>
          <w:sz w:val="22"/>
        </w:rPr>
        <w:t xml:space="preserve"> », 1942, p. 102) correspond-elle à votre lecture du Banquet de Platon, du Songe d’une nuit d’été de Shakespeare et de La Chartreuse de Parme de Stendhal ?</w:t>
      </w:r>
    </w:p>
    <w:p w14:paraId="13D6A406" w14:textId="77777777" w:rsidR="00C644BE" w:rsidRDefault="00C644BE" w:rsidP="00C644BE">
      <w:pPr>
        <w:pStyle w:val="Sansinterligne"/>
        <w:rPr>
          <w:rFonts w:eastAsiaTheme="minorEastAsia"/>
          <w:i/>
          <w:iCs/>
          <w:szCs w:val="24"/>
        </w:rPr>
      </w:pPr>
    </w:p>
    <w:p w14:paraId="2C5F26B0" w14:textId="77777777" w:rsidR="00C644BE" w:rsidRPr="00844831" w:rsidRDefault="00C644BE" w:rsidP="00C644BE">
      <w:pPr>
        <w:pStyle w:val="Sansinterligne"/>
        <w:rPr>
          <w:rFonts w:eastAsiaTheme="minorEastAsia"/>
          <w:i/>
          <w:iCs/>
          <w:szCs w:val="24"/>
        </w:rPr>
      </w:pPr>
    </w:p>
    <w:p w14:paraId="595C03BB" w14:textId="77777777" w:rsidR="00C644BE" w:rsidRDefault="00C644BE" w:rsidP="00C644BE">
      <w:pPr>
        <w:pStyle w:val="Sansinterligne"/>
        <w:numPr>
          <w:ilvl w:val="0"/>
          <w:numId w:val="1"/>
        </w:numPr>
        <w:rPr>
          <w:b/>
          <w:bCs/>
          <w:sz w:val="28"/>
          <w:szCs w:val="28"/>
          <w:highlight w:val="lightGray"/>
        </w:rPr>
      </w:pPr>
      <w:r w:rsidRPr="00B055B2">
        <w:rPr>
          <w:b/>
          <w:bCs/>
          <w:sz w:val="28"/>
          <w:szCs w:val="28"/>
          <w:highlight w:val="lightGray"/>
        </w:rPr>
        <w:t>MÉTHODE</w:t>
      </w:r>
    </w:p>
    <w:p w14:paraId="3A07F5F3" w14:textId="77777777" w:rsidR="00C644BE" w:rsidRDefault="00C644BE" w:rsidP="00C644BE">
      <w:pPr>
        <w:pStyle w:val="Sansinterligne"/>
      </w:pPr>
      <w:bookmarkStart w:id="1" w:name="_Toc144545251"/>
    </w:p>
    <w:bookmarkEnd w:id="1"/>
    <w:p w14:paraId="5E733D06" w14:textId="77777777" w:rsidR="00C644BE" w:rsidRPr="00ED411F" w:rsidRDefault="00C644BE" w:rsidP="00C644BE">
      <w:pPr>
        <w:pStyle w:val="Sansinterligne"/>
        <w:numPr>
          <w:ilvl w:val="0"/>
          <w:numId w:val="2"/>
        </w:numPr>
        <w:rPr>
          <w:u w:val="single"/>
        </w:rPr>
      </w:pPr>
      <w:r w:rsidRPr="00CC79BD">
        <w:rPr>
          <w:b/>
          <w:bCs/>
          <w:u w:val="single"/>
        </w:rPr>
        <w:t>Comprendre le sujet</w:t>
      </w:r>
    </w:p>
    <w:p w14:paraId="05F8EF8B" w14:textId="77777777" w:rsidR="00C644BE" w:rsidRDefault="00C644BE" w:rsidP="00C644BE">
      <w:pPr>
        <w:pStyle w:val="Sansinterligne"/>
        <w:rPr>
          <w:b/>
          <w:bCs/>
        </w:rPr>
      </w:pPr>
      <w:r w:rsidRPr="006931D0">
        <w:rPr>
          <w:b/>
          <w:bCs/>
        </w:rPr>
        <w:t xml:space="preserve">* Au brouillon, analyser le sujet. </w:t>
      </w:r>
    </w:p>
    <w:p w14:paraId="3A0A4B3D" w14:textId="77777777" w:rsidR="00C644BE" w:rsidRPr="006931D0" w:rsidRDefault="00C644BE" w:rsidP="00C644BE">
      <w:pPr>
        <w:pStyle w:val="Sansinterligne"/>
      </w:pPr>
      <w:r w:rsidRPr="006931D0">
        <w:t xml:space="preserve">&gt; analyse lexicale : </w:t>
      </w:r>
    </w:p>
    <w:p w14:paraId="37F52F4A" w14:textId="77777777" w:rsidR="00C644BE" w:rsidRPr="006931D0" w:rsidRDefault="00C644BE" w:rsidP="00C644BE">
      <w:pPr>
        <w:pStyle w:val="Sansinterligne"/>
      </w:pPr>
      <w:r w:rsidRPr="006931D0">
        <w:t>&gt; analyse syntaxique</w:t>
      </w:r>
    </w:p>
    <w:p w14:paraId="5423F256" w14:textId="77777777" w:rsidR="00C644BE" w:rsidRPr="004B36EF" w:rsidRDefault="00C644BE" w:rsidP="00C644BE">
      <w:pPr>
        <w:pStyle w:val="Sansinterligne"/>
      </w:pPr>
    </w:p>
    <w:tbl>
      <w:tblPr>
        <w:tblStyle w:val="Grilledutableau"/>
        <w:tblW w:w="10201" w:type="dxa"/>
        <w:tblLook w:val="04A0" w:firstRow="1" w:lastRow="0" w:firstColumn="1" w:lastColumn="0" w:noHBand="0" w:noVBand="1"/>
      </w:tblPr>
      <w:tblGrid>
        <w:gridCol w:w="10201"/>
      </w:tblGrid>
      <w:tr w:rsidR="00C644BE" w:rsidRPr="005D5D31" w14:paraId="5E1C272C" w14:textId="77777777" w:rsidTr="00FC051A">
        <w:tc>
          <w:tcPr>
            <w:tcW w:w="10201" w:type="dxa"/>
          </w:tcPr>
          <w:p w14:paraId="0214BFE3" w14:textId="77777777" w:rsidR="00C644BE" w:rsidRPr="004B36EF" w:rsidRDefault="00C644BE" w:rsidP="00FC051A">
            <w:pPr>
              <w:pStyle w:val="Sansinterligne"/>
              <w:rPr>
                <w:i/>
                <w:iCs/>
                <w:szCs w:val="24"/>
              </w:rPr>
            </w:pPr>
            <w:r w:rsidRPr="004B36EF">
              <w:rPr>
                <w:i/>
                <w:iCs/>
                <w:szCs w:val="24"/>
              </w:rPr>
              <w:t>Certaines étapes, déterminantes pour la qualité du travail, présentent encore des faiblesses. Sans surprise, c’est d’abord l’analyse du sujet, et conséquemment sa problématisation, qui laissent trop souvent à désirer.</w:t>
            </w:r>
          </w:p>
          <w:p w14:paraId="7112177E" w14:textId="77777777" w:rsidR="00C644BE" w:rsidRPr="005D5D31" w:rsidRDefault="00C644BE" w:rsidP="00FC051A">
            <w:pPr>
              <w:pStyle w:val="Sansinterligne"/>
              <w:rPr>
                <w:szCs w:val="24"/>
              </w:rPr>
            </w:pPr>
            <w:r w:rsidRPr="004B36EF">
              <w:rPr>
                <w:i/>
                <w:iCs/>
                <w:szCs w:val="24"/>
              </w:rPr>
              <w:t xml:space="preserve">Malgré la brièveté de la citation, il semble que l’enjeu de cette étape ne soit pas encore clairement établi dans tous les esprits : on traite trop souvent </w:t>
            </w:r>
            <w:r w:rsidRPr="004B36EF">
              <w:rPr>
                <w:b/>
                <w:bCs/>
                <w:i/>
                <w:iCs/>
                <w:szCs w:val="24"/>
              </w:rPr>
              <w:t xml:space="preserve">l’analyse </w:t>
            </w:r>
            <w:r w:rsidRPr="004B36EF">
              <w:rPr>
                <w:i/>
                <w:iCs/>
                <w:szCs w:val="24"/>
              </w:rPr>
              <w:t>comme une contrainte de pure forme destinée à étoffer l’introduction au lieu d’engager un véritable travail de réflexion qui nécessite d’y consacrer une partie du temps de recherche. S’ensuivent les erreurs habituelles : approximations sommaires, amputation d’une partie de la citation, réduction des propos de l’auteur à une notion ou une idée. Elles sont toujours très préjudiciables à l’ensemble du devoir puisque tout le développement sera finalement tributaire de cette recherche</w:t>
            </w:r>
            <w:r>
              <w:rPr>
                <w:szCs w:val="24"/>
              </w:rPr>
              <w:t>. Rapport jury 2022</w:t>
            </w:r>
          </w:p>
        </w:tc>
      </w:tr>
    </w:tbl>
    <w:p w14:paraId="7917B133" w14:textId="77777777" w:rsidR="00C644BE" w:rsidRPr="005D5D31" w:rsidRDefault="00C644BE" w:rsidP="00C644BE">
      <w:pPr>
        <w:pStyle w:val="Sansinterligne"/>
        <w:rPr>
          <w:szCs w:val="24"/>
        </w:rPr>
      </w:pPr>
    </w:p>
    <w:tbl>
      <w:tblPr>
        <w:tblStyle w:val="Grilledutableau"/>
        <w:tblW w:w="10201" w:type="dxa"/>
        <w:tblLook w:val="04A0" w:firstRow="1" w:lastRow="0" w:firstColumn="1" w:lastColumn="0" w:noHBand="0" w:noVBand="1"/>
      </w:tblPr>
      <w:tblGrid>
        <w:gridCol w:w="10201"/>
      </w:tblGrid>
      <w:tr w:rsidR="00C644BE" w:rsidRPr="005D5D31" w14:paraId="2363F7F4" w14:textId="77777777" w:rsidTr="00FC051A">
        <w:tc>
          <w:tcPr>
            <w:tcW w:w="10201" w:type="dxa"/>
          </w:tcPr>
          <w:p w14:paraId="1CF5F926" w14:textId="77777777" w:rsidR="00C644BE" w:rsidRPr="004B36EF" w:rsidRDefault="00C644BE" w:rsidP="00FC051A">
            <w:pPr>
              <w:pStyle w:val="Sansinterligne"/>
              <w:rPr>
                <w:i/>
                <w:iCs/>
                <w:szCs w:val="24"/>
              </w:rPr>
            </w:pPr>
            <w:r w:rsidRPr="004B36EF">
              <w:rPr>
                <w:b/>
                <w:bCs/>
                <w:i/>
                <w:iCs/>
                <w:szCs w:val="24"/>
              </w:rPr>
              <w:t xml:space="preserve">Les analyses </w:t>
            </w:r>
            <w:r w:rsidRPr="004B36EF">
              <w:rPr>
                <w:i/>
                <w:iCs/>
                <w:szCs w:val="24"/>
              </w:rPr>
              <w:t>les moins fructueuses sont encore celles qui sont confondues avec une « description » de la citation à traiter, ou une « définition » des termes qu’elle contient. Enumérer les termes du sujet pour en donner mot à mot une série de synonymes ou de définitions plus ou moins claires ne permet pas d’analyser la signification des propos de l’auteur. De même, en paraphrasant le sujet dès qu’il a été cité, on propose le plus souvent une approximation incertaine qui affectera ensuite tout le développement. Il est donc impératif de prendre le temps de la recherche et de la réflexion « au brouillon », afin d’orienter correctement son plan.</w:t>
            </w:r>
          </w:p>
        </w:tc>
      </w:tr>
    </w:tbl>
    <w:p w14:paraId="4D2C1A9D" w14:textId="77777777" w:rsidR="00C644BE" w:rsidRDefault="00C644BE" w:rsidP="00C644BE">
      <w:pPr>
        <w:pStyle w:val="Sansinterligne"/>
        <w:rPr>
          <w:b/>
          <w:bCs/>
        </w:rPr>
      </w:pPr>
    </w:p>
    <w:p w14:paraId="3005E41C" w14:textId="77777777" w:rsidR="00C644BE" w:rsidRPr="006931D0" w:rsidRDefault="00C644BE" w:rsidP="00C644BE">
      <w:pPr>
        <w:pStyle w:val="Sansinterligne"/>
        <w:rPr>
          <w:b/>
          <w:bCs/>
        </w:rPr>
      </w:pPr>
      <w:r w:rsidRPr="006931D0">
        <w:rPr>
          <w:b/>
          <w:bCs/>
        </w:rPr>
        <w:t xml:space="preserve">* Reformuler la thèse de l’auteur, ce qu’il veut montrer </w:t>
      </w:r>
    </w:p>
    <w:p w14:paraId="6D0CCF4D" w14:textId="77777777" w:rsidR="00C644BE" w:rsidRPr="006931D0" w:rsidRDefault="00C644BE" w:rsidP="00C644BE">
      <w:pPr>
        <w:pStyle w:val="Sansinterligne"/>
      </w:pPr>
    </w:p>
    <w:p w14:paraId="1F79A19B" w14:textId="77777777" w:rsidR="00C644BE" w:rsidRPr="00CC79BD" w:rsidRDefault="00C644BE" w:rsidP="00C644BE">
      <w:pPr>
        <w:pStyle w:val="Sansinterligne"/>
        <w:rPr>
          <w:b/>
          <w:bCs/>
        </w:rPr>
      </w:pPr>
      <w:r w:rsidRPr="006931D0">
        <w:rPr>
          <w:b/>
          <w:bCs/>
        </w:rPr>
        <w:t>* Formuler la problématique = mettre en question cette thèse</w:t>
      </w:r>
    </w:p>
    <w:p w14:paraId="183968B0" w14:textId="77777777" w:rsidR="00C644BE" w:rsidRDefault="00C644BE" w:rsidP="00C644BE">
      <w:pPr>
        <w:rPr>
          <w:rFonts w:ascii="Garamond" w:hAnsi="Garamond"/>
          <w:b/>
          <w:sz w:val="22"/>
          <w:szCs w:val="22"/>
        </w:rPr>
      </w:pPr>
    </w:p>
    <w:tbl>
      <w:tblPr>
        <w:tblStyle w:val="Grilledutableau"/>
        <w:tblW w:w="0" w:type="auto"/>
        <w:tblLook w:val="04A0" w:firstRow="1" w:lastRow="0" w:firstColumn="1" w:lastColumn="0" w:noHBand="0" w:noVBand="1"/>
      </w:tblPr>
      <w:tblGrid>
        <w:gridCol w:w="9628"/>
      </w:tblGrid>
      <w:tr w:rsidR="00C644BE" w14:paraId="3E0B93ED" w14:textId="77777777" w:rsidTr="00FC051A">
        <w:tc>
          <w:tcPr>
            <w:tcW w:w="10188" w:type="dxa"/>
          </w:tcPr>
          <w:p w14:paraId="6D71F64F" w14:textId="77777777" w:rsidR="00C644BE" w:rsidRPr="004B36EF" w:rsidRDefault="00C644BE" w:rsidP="00FC051A">
            <w:pPr>
              <w:pStyle w:val="Sansinterligne"/>
              <w:rPr>
                <w:i/>
                <w:iCs/>
                <w:szCs w:val="24"/>
              </w:rPr>
            </w:pPr>
            <w:r w:rsidRPr="004B36EF">
              <w:rPr>
                <w:b/>
                <w:bCs/>
                <w:i/>
                <w:iCs/>
                <w:szCs w:val="24"/>
              </w:rPr>
              <w:t>La problématisation</w:t>
            </w:r>
            <w:r w:rsidRPr="004B36EF">
              <w:rPr>
                <w:i/>
                <w:iCs/>
                <w:szCs w:val="24"/>
              </w:rPr>
              <w:t xml:space="preserve"> semble aussi se réduire pour certains à une vague interrogation essentiellement La contrainte du temps limité ne doit pas inciter les candidats à se précipiter vers l’élaboration du plan : il ne répondra correctement au sujet que s’il est guidé par une analyse et </w:t>
            </w:r>
            <w:proofErr w:type="gramStart"/>
            <w:r w:rsidRPr="004B36EF">
              <w:rPr>
                <w:i/>
                <w:iCs/>
                <w:szCs w:val="24"/>
              </w:rPr>
              <w:t>une problématisation mûrement réfléchies</w:t>
            </w:r>
            <w:proofErr w:type="gramEnd"/>
            <w:r w:rsidRPr="004B36EF">
              <w:rPr>
                <w:i/>
                <w:iCs/>
                <w:szCs w:val="24"/>
              </w:rPr>
              <w:t>. Elles forment la première attente du jury et conditionnent largement la qualité de l’ensemble, donc l’évaluation finale. Les résultats distinguent toujours les copies qui témoignent de ce temps essentiel consacré à l’exploration de la citation, de sa logique, des notions qu’elle mobilise, de la thèse que l’auteur avance. C’est le seul cheminement permettant de construire un développement pertinent et suffisamment complet. […]</w:t>
            </w:r>
          </w:p>
          <w:p w14:paraId="480334C0" w14:textId="77777777" w:rsidR="00C644BE" w:rsidRPr="004B36EF" w:rsidRDefault="00C644BE" w:rsidP="00FC051A">
            <w:pPr>
              <w:pStyle w:val="Sansinterligne"/>
              <w:rPr>
                <w:szCs w:val="24"/>
              </w:rPr>
            </w:pPr>
            <w:r w:rsidRPr="004B36EF">
              <w:rPr>
                <w:b/>
                <w:bCs/>
                <w:i/>
                <w:iCs/>
                <w:szCs w:val="24"/>
              </w:rPr>
              <w:t>La problématisation</w:t>
            </w:r>
            <w:r w:rsidRPr="004B36EF">
              <w:rPr>
                <w:i/>
                <w:iCs/>
                <w:szCs w:val="24"/>
              </w:rPr>
              <w:t xml:space="preserve"> résulte d’un effort de synthèse qui doit suivre l’analyse : pour reformuler l’énoncé d’abord, cette fois en explicitant sa dimension argumentative, pour établir une problématique pertinente et cohérente ensuite, à partir des interrogations que l’analyse a fait surgir. Substituer les termes du sujet par une formule vague, parfois très incertaine n’est pas reformuler à partir d’une analyse serrée. De même, s’il y a matière à débat, c’est que la citation présente un point de vue construit et repérable, qui ne peut faire immédiatement consensus.</w:t>
            </w:r>
          </w:p>
        </w:tc>
      </w:tr>
    </w:tbl>
    <w:p w14:paraId="5D36AD55" w14:textId="77777777" w:rsidR="00C644BE" w:rsidRDefault="00C644BE" w:rsidP="00C644BE">
      <w:pPr>
        <w:rPr>
          <w:rFonts w:ascii="Garamond" w:hAnsi="Garamond"/>
          <w:b/>
          <w:sz w:val="22"/>
          <w:szCs w:val="22"/>
        </w:rPr>
      </w:pPr>
    </w:p>
    <w:tbl>
      <w:tblPr>
        <w:tblStyle w:val="Grilledutableau"/>
        <w:tblW w:w="0" w:type="auto"/>
        <w:tblLook w:val="04A0" w:firstRow="1" w:lastRow="0" w:firstColumn="1" w:lastColumn="0" w:noHBand="0" w:noVBand="1"/>
      </w:tblPr>
      <w:tblGrid>
        <w:gridCol w:w="9628"/>
      </w:tblGrid>
      <w:tr w:rsidR="00C644BE" w14:paraId="63A611C0" w14:textId="77777777" w:rsidTr="00FC051A">
        <w:tc>
          <w:tcPr>
            <w:tcW w:w="10188" w:type="dxa"/>
          </w:tcPr>
          <w:p w14:paraId="15A4859A" w14:textId="77777777" w:rsidR="00C644BE" w:rsidRPr="004B36EF" w:rsidRDefault="00C644BE" w:rsidP="00FC051A">
            <w:pPr>
              <w:pStyle w:val="Sansinterligne"/>
              <w:rPr>
                <w:i/>
                <w:iCs/>
                <w:szCs w:val="24"/>
              </w:rPr>
            </w:pPr>
            <w:r w:rsidRPr="004B36EF">
              <w:rPr>
                <w:i/>
                <w:iCs/>
                <w:szCs w:val="24"/>
              </w:rPr>
              <w:t>Cette première étape de recherche attentive, d’analyse et de synthèse pour reformuler et problématiser l’énoncé constitue la clef incontournable et sûre d’un développement et finalement d’une composition française réussis. C’est à ce stade que s’établissent les qualités principales d’un devoir, notamment sa pertinence. L’inquiétude face au temps imposé ne doit donc pas détourner les candidats de ce moment essentiel, ni les pousser à lui substituer une volonté prématurée de relier la citation aux œuvres sans avoir véritablement pris le temps et la peine d’en dégager les enjeux. Les meilleures copies sont celles qui témoignent de l’investissement sérieux de ce stade de l’exercice, de la compréhension de ses enjeux. Les candidats sont invités à s’assurer, avant la construction du plan de leur développement, que leur analyse, leur reformulation, et leur problématique respectent le sens et les termes de la citation. Cette dernière vérification permettra d’éliminer les erreurs les plus pénalisantes.</w:t>
            </w:r>
          </w:p>
        </w:tc>
      </w:tr>
    </w:tbl>
    <w:p w14:paraId="7503E46A" w14:textId="77777777" w:rsidR="00C644BE" w:rsidRPr="004F6933" w:rsidRDefault="00C644BE" w:rsidP="00C644BE">
      <w:pPr>
        <w:rPr>
          <w:rFonts w:ascii="Garamond" w:hAnsi="Garamond"/>
          <w:b/>
          <w:sz w:val="22"/>
          <w:szCs w:val="22"/>
        </w:rPr>
      </w:pPr>
    </w:p>
    <w:p w14:paraId="315EA567" w14:textId="77777777" w:rsidR="00C644BE" w:rsidRPr="00CC79BD" w:rsidRDefault="00C644BE" w:rsidP="00C644BE">
      <w:pPr>
        <w:pStyle w:val="Sansinterligne"/>
        <w:ind w:firstLine="708"/>
        <w:rPr>
          <w:b/>
          <w:bCs/>
          <w:u w:val="single"/>
        </w:rPr>
      </w:pPr>
      <w:r w:rsidRPr="00CC79BD">
        <w:rPr>
          <w:b/>
          <w:bCs/>
          <w:u w:val="single"/>
        </w:rPr>
        <w:t>2- Le plan</w:t>
      </w:r>
    </w:p>
    <w:p w14:paraId="16FC33AB" w14:textId="77777777" w:rsidR="00C644BE" w:rsidRDefault="00C644BE" w:rsidP="00C644BE">
      <w:pPr>
        <w:pStyle w:val="Sansinterligne"/>
        <w:rPr>
          <w:rFonts w:cs="Tahoma"/>
          <w:color w:val="000000"/>
        </w:rPr>
      </w:pPr>
    </w:p>
    <w:tbl>
      <w:tblPr>
        <w:tblStyle w:val="Grilledutableau"/>
        <w:tblW w:w="0" w:type="auto"/>
        <w:tblLook w:val="04A0" w:firstRow="1" w:lastRow="0" w:firstColumn="1" w:lastColumn="0" w:noHBand="0" w:noVBand="1"/>
      </w:tblPr>
      <w:tblGrid>
        <w:gridCol w:w="9628"/>
      </w:tblGrid>
      <w:tr w:rsidR="00C644BE" w14:paraId="71EA9E50" w14:textId="77777777" w:rsidTr="00FC051A">
        <w:tc>
          <w:tcPr>
            <w:tcW w:w="10450" w:type="dxa"/>
          </w:tcPr>
          <w:p w14:paraId="6456D307" w14:textId="77777777" w:rsidR="00C644BE" w:rsidRPr="004B36EF" w:rsidRDefault="00C644BE" w:rsidP="00FC051A">
            <w:pPr>
              <w:pStyle w:val="Sansinterligne"/>
              <w:rPr>
                <w:i/>
                <w:iCs/>
                <w:szCs w:val="24"/>
              </w:rPr>
            </w:pPr>
            <w:r w:rsidRPr="004B36EF">
              <w:rPr>
                <w:i/>
                <w:iCs/>
                <w:szCs w:val="24"/>
              </w:rPr>
              <w:t>Pas plus que l’analyse, les trois étapes du plan ne sont de pure apparence. Elles doivent être construites pour permettre le déroulement d’un raisonnement complet qui dépasse le stade de l’objection pour faire évoluer la thèse dans un dernier temps. Le plan ne peut donc se réduire à une ébauche d’examen critique qui présenterait une justification de la thèse suivie de l’exploration de ses limites, cette approche binaire étant plus ou moins bien répartie en trois étapes. La troisième partie doit révéler l’aboutissement du plan : un approfondissement de la formule de l’auteur qui permet de dépasser l’objection formulée en deuxième partie</w:t>
            </w:r>
          </w:p>
        </w:tc>
      </w:tr>
    </w:tbl>
    <w:p w14:paraId="50C85D0C" w14:textId="77777777" w:rsidR="00C644BE" w:rsidRDefault="00C644BE" w:rsidP="00C644BE">
      <w:pPr>
        <w:pStyle w:val="Sansinterligne"/>
        <w:rPr>
          <w:rFonts w:cs="Tahoma"/>
          <w:color w:val="000000"/>
        </w:rPr>
      </w:pPr>
    </w:p>
    <w:p w14:paraId="31A6641C" w14:textId="77777777" w:rsidR="00C644BE" w:rsidRPr="00A33C5C" w:rsidRDefault="00C644BE" w:rsidP="00C644BE">
      <w:pPr>
        <w:pStyle w:val="Sansinterligne"/>
        <w:numPr>
          <w:ilvl w:val="0"/>
          <w:numId w:val="1"/>
        </w:numPr>
        <w:rPr>
          <w:b/>
          <w:bCs/>
          <w:u w:val="single"/>
        </w:rPr>
      </w:pPr>
      <w:r w:rsidRPr="00CC79BD">
        <w:rPr>
          <w:b/>
          <w:bCs/>
          <w:u w:val="single"/>
        </w:rPr>
        <w:t>R</w:t>
      </w:r>
      <w:bookmarkStart w:id="2" w:name="_Toc144545253"/>
      <w:r>
        <w:rPr>
          <w:b/>
          <w:bCs/>
          <w:u w:val="single"/>
        </w:rPr>
        <w:t>édaction</w:t>
      </w:r>
    </w:p>
    <w:p w14:paraId="575B5C57" w14:textId="77777777" w:rsidR="00C644BE" w:rsidRPr="002A0428" w:rsidRDefault="00C644BE" w:rsidP="00C644BE">
      <w:pPr>
        <w:pStyle w:val="Sansinterligne"/>
        <w:rPr>
          <w:b/>
          <w:bCs/>
        </w:rPr>
      </w:pPr>
      <w:r w:rsidRPr="002A0428">
        <w:rPr>
          <w:b/>
          <w:bCs/>
        </w:rPr>
        <w:t>Rédiger l’introduction</w:t>
      </w:r>
      <w:bookmarkEnd w:id="2"/>
      <w:r w:rsidRPr="002A0428">
        <w:rPr>
          <w:b/>
          <w:bCs/>
        </w:rPr>
        <w:t xml:space="preserve"> </w:t>
      </w:r>
    </w:p>
    <w:p w14:paraId="66F24B19" w14:textId="77777777" w:rsidR="00C644BE" w:rsidRPr="00A33C5C" w:rsidRDefault="00C644BE" w:rsidP="00C644BE">
      <w:pPr>
        <w:pStyle w:val="Sansinterligne"/>
      </w:pPr>
      <w:r w:rsidRPr="00A33C5C">
        <w:t xml:space="preserve">* Une amorce </w:t>
      </w:r>
    </w:p>
    <w:p w14:paraId="7837E195" w14:textId="77777777" w:rsidR="00C644BE" w:rsidRPr="00A33C5C" w:rsidRDefault="00C644BE" w:rsidP="00C644BE">
      <w:pPr>
        <w:pStyle w:val="Sansinterligne"/>
      </w:pPr>
      <w:r w:rsidRPr="00A33C5C">
        <w:t>* La citation intégralement recopiée avec le titre de l’œuvre / le nom de l’auteur</w:t>
      </w:r>
    </w:p>
    <w:p w14:paraId="12D619BA" w14:textId="77777777" w:rsidR="00C644BE" w:rsidRPr="00A33C5C" w:rsidRDefault="00C644BE" w:rsidP="00C644BE">
      <w:pPr>
        <w:pStyle w:val="Sansinterligne"/>
      </w:pPr>
      <w:r w:rsidRPr="00A33C5C">
        <w:t>* Son analyse.</w:t>
      </w:r>
    </w:p>
    <w:p w14:paraId="3AA5AD24" w14:textId="77777777" w:rsidR="00C644BE" w:rsidRPr="00A33C5C" w:rsidRDefault="00C644BE" w:rsidP="00C644BE">
      <w:pPr>
        <w:pStyle w:val="Sansinterligne"/>
      </w:pPr>
      <w:r w:rsidRPr="00A33C5C">
        <w:t>* Une problématique qui découle de cette analyse + la mention des œuvres et des auteurs au programme.</w:t>
      </w:r>
    </w:p>
    <w:p w14:paraId="00F01D3E" w14:textId="77777777" w:rsidR="00C644BE" w:rsidRPr="00A33C5C" w:rsidRDefault="00C644BE" w:rsidP="00C644BE">
      <w:pPr>
        <w:pStyle w:val="Sansinterligne"/>
      </w:pPr>
      <w:r w:rsidRPr="00A33C5C">
        <w:t>Formule « En nous appuyant sur notre lecture des œuvres de Laclos, Musset et Arendt au programme, nous nous demanderons dans quelle mesure » + phrase affirmative</w:t>
      </w:r>
    </w:p>
    <w:p w14:paraId="29D0DB56" w14:textId="798C7139" w:rsidR="00375DC8" w:rsidRDefault="00C644BE" w:rsidP="00C644BE">
      <w:pPr>
        <w:pStyle w:val="Sansinterligne"/>
      </w:pPr>
      <w:r>
        <w:t>* L’annonce du plan qui sera suivi dans le développement</w:t>
      </w:r>
    </w:p>
    <w:p w14:paraId="6016D781" w14:textId="77777777" w:rsidR="00C644BE" w:rsidRDefault="00C644BE" w:rsidP="00C644BE">
      <w:pPr>
        <w:pStyle w:val="Sansinterligne"/>
        <w:rPr>
          <w:b/>
          <w:bCs/>
        </w:rPr>
      </w:pPr>
    </w:p>
    <w:p w14:paraId="1818B75E" w14:textId="30F91B5E" w:rsidR="00C644BE" w:rsidRPr="00C644BE" w:rsidRDefault="00C644BE" w:rsidP="00C644BE">
      <w:pPr>
        <w:pStyle w:val="Sansinterligne"/>
        <w:rPr>
          <w:b/>
          <w:bCs/>
        </w:rPr>
      </w:pPr>
      <w:r w:rsidRPr="001200AA">
        <w:rPr>
          <w:b/>
          <w:bCs/>
        </w:rPr>
        <w:t>Développement</w:t>
      </w:r>
    </w:p>
    <w:tbl>
      <w:tblPr>
        <w:tblStyle w:val="Grilledutableau"/>
        <w:tblW w:w="0" w:type="auto"/>
        <w:tblLook w:val="04A0" w:firstRow="1" w:lastRow="0" w:firstColumn="1" w:lastColumn="0" w:noHBand="0" w:noVBand="1"/>
      </w:tblPr>
      <w:tblGrid>
        <w:gridCol w:w="9628"/>
      </w:tblGrid>
      <w:tr w:rsidR="00C644BE" w14:paraId="20EAE34A" w14:textId="77777777" w:rsidTr="00FC051A">
        <w:tc>
          <w:tcPr>
            <w:tcW w:w="10456" w:type="dxa"/>
          </w:tcPr>
          <w:p w14:paraId="073F429B" w14:textId="77777777" w:rsidR="00C644BE" w:rsidRPr="004B36EF" w:rsidRDefault="00C644BE" w:rsidP="00FC051A">
            <w:pPr>
              <w:pStyle w:val="Sansinterligne"/>
              <w:rPr>
                <w:i/>
                <w:iCs/>
                <w:szCs w:val="24"/>
              </w:rPr>
            </w:pPr>
            <w:r w:rsidRPr="004B36EF">
              <w:rPr>
                <w:b/>
                <w:bCs/>
                <w:i/>
                <w:iCs/>
                <w:szCs w:val="24"/>
              </w:rPr>
              <w:t>Le développement</w:t>
            </w:r>
            <w:r w:rsidRPr="004B36EF">
              <w:rPr>
                <w:i/>
                <w:iCs/>
                <w:szCs w:val="24"/>
              </w:rPr>
              <w:t>, quant à lui, relève du registre de l’argumentation qui constitue la deuxième exigence de l’exercice. Par sa construction d’ensemble et de détail, il doit présenter un raisonnement cohérent, justifié par des citations suffisamment nombreuses et pertinentes. Là encore, il faut rappeler que cette dimension de la composition française détermine largement l’évaluation puisque cette compétence est au cœur d’une communication efficace. Il s’agit de démontrer les idées principales que l’on avance pour répondre à la problématique avec toute la précision et la cohérence indispensables, afin d’en convaincre le lecteur.</w:t>
            </w:r>
          </w:p>
        </w:tc>
      </w:tr>
    </w:tbl>
    <w:p w14:paraId="6E1E6373" w14:textId="77777777" w:rsidR="00C644BE" w:rsidRPr="002F3CF7" w:rsidRDefault="00C644BE" w:rsidP="00C644BE">
      <w:pPr>
        <w:pStyle w:val="Sansinterligne"/>
      </w:pPr>
    </w:p>
    <w:p w14:paraId="62F8E197" w14:textId="77777777" w:rsidR="00C644BE" w:rsidRPr="001200AA" w:rsidRDefault="00C644BE" w:rsidP="00C644BE">
      <w:pPr>
        <w:pStyle w:val="Sansinterligne"/>
        <w:rPr>
          <w:b/>
          <w:bCs/>
        </w:rPr>
      </w:pPr>
      <w:r w:rsidRPr="001200AA">
        <w:rPr>
          <w:b/>
          <w:bCs/>
        </w:rPr>
        <w:t>Organisation des sous-parties</w:t>
      </w:r>
    </w:p>
    <w:p w14:paraId="01A4B98E" w14:textId="77777777" w:rsidR="00C644BE" w:rsidRDefault="00C644BE" w:rsidP="00C644BE">
      <w:pPr>
        <w:pStyle w:val="Sansinterligne"/>
      </w:pPr>
    </w:p>
    <w:p w14:paraId="276F28DF" w14:textId="77777777" w:rsidR="00C644BE" w:rsidRPr="001200AA" w:rsidRDefault="00C644BE" w:rsidP="00C644BE">
      <w:pPr>
        <w:pStyle w:val="Sansinterligne"/>
        <w:rPr>
          <w:b/>
          <w:bCs/>
        </w:rPr>
      </w:pPr>
      <w:r w:rsidRPr="001200AA">
        <w:rPr>
          <w:b/>
          <w:bCs/>
        </w:rPr>
        <w:t>Les exemples</w:t>
      </w:r>
    </w:p>
    <w:p w14:paraId="6E7FB3E6" w14:textId="78BD1D5D" w:rsidR="00C644BE" w:rsidRPr="00C644BE" w:rsidRDefault="00C644BE" w:rsidP="00C644BE">
      <w:pPr>
        <w:pStyle w:val="Sansinterligne"/>
        <w:rPr>
          <w:rFonts w:cs="Tahoma"/>
        </w:rPr>
      </w:pPr>
      <w:r w:rsidRPr="00C644BE">
        <w:rPr>
          <w:rFonts w:cs="Tahoma"/>
        </w:rPr>
        <w:t>Confrontation </w:t>
      </w:r>
      <w:r w:rsidRPr="00C644BE">
        <w:t xml:space="preserve"> </w:t>
      </w:r>
    </w:p>
    <w:p w14:paraId="34256F6F" w14:textId="0A1C7458" w:rsidR="00C644BE" w:rsidRPr="00C644BE" w:rsidRDefault="00C644BE" w:rsidP="00C644BE">
      <w:pPr>
        <w:pStyle w:val="Sansinterligne"/>
        <w:rPr>
          <w:rFonts w:cs="Tahoma"/>
        </w:rPr>
      </w:pPr>
      <w:r w:rsidRPr="00C644BE">
        <w:t xml:space="preserve">Les exemples doivent être réellement analysés. </w:t>
      </w:r>
    </w:p>
    <w:p w14:paraId="0547C290" w14:textId="5F9BA523" w:rsidR="00C644BE" w:rsidRDefault="00C644BE" w:rsidP="00C644BE">
      <w:pPr>
        <w:pStyle w:val="Sansinterligne"/>
        <w:rPr>
          <w:rFonts w:cs="Tahoma"/>
          <w:color w:val="000000" w:themeColor="text1"/>
        </w:rPr>
      </w:pPr>
      <w:r w:rsidRPr="00C644BE">
        <w:rPr>
          <w:rFonts w:cs="Tahoma"/>
          <w:color w:val="000000" w:themeColor="text1"/>
        </w:rPr>
        <w:t>Choix des citations</w:t>
      </w:r>
      <w:r>
        <w:rPr>
          <w:rFonts w:cs="Tahoma"/>
          <w:color w:val="000000" w:themeColor="text1"/>
        </w:rPr>
        <w:t> :</w:t>
      </w:r>
      <w:r>
        <w:rPr>
          <w:rFonts w:cs="Tahoma"/>
          <w:color w:val="000000" w:themeColor="text1"/>
        </w:rPr>
        <w:t xml:space="preserve"> </w:t>
      </w:r>
      <w:r w:rsidRPr="001200AA">
        <w:rPr>
          <w:rFonts w:cs="Tahoma"/>
          <w:i/>
          <w:iCs/>
          <w:color w:val="000000" w:themeColor="text1"/>
        </w:rPr>
        <w:t>Originalité</w:t>
      </w:r>
      <w:r>
        <w:rPr>
          <w:rFonts w:cs="Tahoma"/>
          <w:color w:val="000000" w:themeColor="text1"/>
        </w:rPr>
        <w:t xml:space="preserve"> </w:t>
      </w:r>
      <w:r>
        <w:rPr>
          <w:rFonts w:cs="Tahoma"/>
          <w:color w:val="000000"/>
        </w:rPr>
        <w:t xml:space="preserve">- </w:t>
      </w:r>
      <w:r w:rsidRPr="001200AA">
        <w:rPr>
          <w:rFonts w:cs="Tahoma"/>
          <w:i/>
          <w:iCs/>
          <w:color w:val="000000"/>
        </w:rPr>
        <w:t>Contextualisation</w:t>
      </w:r>
      <w:r>
        <w:rPr>
          <w:rFonts w:cs="Tahoma"/>
          <w:color w:val="000000"/>
        </w:rPr>
        <w:t xml:space="preserve"> </w:t>
      </w:r>
      <w:r w:rsidRPr="001200AA">
        <w:rPr>
          <w:i/>
          <w:iCs/>
        </w:rPr>
        <w:t xml:space="preserve">- </w:t>
      </w:r>
      <w:r>
        <w:rPr>
          <w:i/>
          <w:iCs/>
        </w:rPr>
        <w:t>C</w:t>
      </w:r>
      <w:r w:rsidRPr="001200AA">
        <w:rPr>
          <w:i/>
          <w:iCs/>
        </w:rPr>
        <w:t>itation ou référence</w:t>
      </w:r>
    </w:p>
    <w:p w14:paraId="35FC963E" w14:textId="77777777" w:rsidR="00C644BE" w:rsidRPr="00C644BE" w:rsidRDefault="00C644BE" w:rsidP="00C644BE">
      <w:pPr>
        <w:pStyle w:val="Sansinterligne"/>
        <w:rPr>
          <w:rFonts w:cs="Tahoma"/>
          <w:color w:val="000000" w:themeColor="text1"/>
        </w:rPr>
      </w:pPr>
    </w:p>
    <w:tbl>
      <w:tblPr>
        <w:tblStyle w:val="Grilledutableau"/>
        <w:tblW w:w="0" w:type="auto"/>
        <w:tblLook w:val="04A0" w:firstRow="1" w:lastRow="0" w:firstColumn="1" w:lastColumn="0" w:noHBand="0" w:noVBand="1"/>
      </w:tblPr>
      <w:tblGrid>
        <w:gridCol w:w="9628"/>
      </w:tblGrid>
      <w:tr w:rsidR="00C644BE" w14:paraId="6A3E999D" w14:textId="77777777" w:rsidTr="00FC051A">
        <w:tc>
          <w:tcPr>
            <w:tcW w:w="10456" w:type="dxa"/>
          </w:tcPr>
          <w:p w14:paraId="2CFFBE91" w14:textId="77777777" w:rsidR="00C644BE" w:rsidRPr="004B36EF" w:rsidRDefault="00C644BE" w:rsidP="00FC051A">
            <w:pPr>
              <w:pStyle w:val="Sansinterligne"/>
              <w:rPr>
                <w:i/>
                <w:iCs/>
                <w:szCs w:val="24"/>
              </w:rPr>
            </w:pPr>
            <w:r w:rsidRPr="004B36EF">
              <w:rPr>
                <w:i/>
                <w:iCs/>
                <w:szCs w:val="24"/>
              </w:rPr>
              <w:t xml:space="preserve">La composition française sur programme demande certes la maîtrise du sens des œuvres, mais aussi une connaissance suffisante de la lettre pour pouvoir argumenter solidement, en retrouvant précisément dans le corpus les idées que l’on mobilise. </w:t>
            </w:r>
            <w:r w:rsidRPr="004B36EF">
              <w:rPr>
                <w:b/>
                <w:bCs/>
                <w:i/>
                <w:iCs/>
                <w:szCs w:val="24"/>
              </w:rPr>
              <w:t>Les citations</w:t>
            </w:r>
            <w:r w:rsidRPr="004B36EF">
              <w:rPr>
                <w:i/>
                <w:iCs/>
                <w:szCs w:val="24"/>
              </w:rPr>
              <w:t xml:space="preserve"> qui émaillent le développement sont une dimension essentielle de la qualité de l’argumentation et non une pure norme forme.</w:t>
            </w:r>
          </w:p>
        </w:tc>
      </w:tr>
    </w:tbl>
    <w:p w14:paraId="7E980D2C" w14:textId="77777777" w:rsidR="00C644BE" w:rsidRDefault="00C644BE" w:rsidP="00C644BE">
      <w:pPr>
        <w:pStyle w:val="Sansinterligne"/>
      </w:pPr>
    </w:p>
    <w:p w14:paraId="2A3E5BD4" w14:textId="77777777" w:rsidR="00C644BE" w:rsidRDefault="00C644BE" w:rsidP="00C644BE">
      <w:pPr>
        <w:pStyle w:val="Sansinterligne"/>
      </w:pPr>
    </w:p>
    <w:p w14:paraId="35559DD2" w14:textId="77777777" w:rsidR="00C644BE" w:rsidRDefault="00C644BE" w:rsidP="00C644BE">
      <w:pPr>
        <w:pStyle w:val="Sansinterligne"/>
        <w:rPr>
          <w:b/>
          <w:bCs/>
        </w:rPr>
      </w:pPr>
      <w:r w:rsidRPr="001200AA">
        <w:rPr>
          <w:b/>
          <w:bCs/>
        </w:rPr>
        <w:t>Les transitions</w:t>
      </w:r>
    </w:p>
    <w:p w14:paraId="1E62AD7D" w14:textId="77777777" w:rsidR="00C644BE" w:rsidRDefault="00C644BE" w:rsidP="00C644BE">
      <w:pPr>
        <w:pStyle w:val="Sansinterligne"/>
      </w:pPr>
    </w:p>
    <w:p w14:paraId="4AA65286" w14:textId="77777777" w:rsidR="00C644BE" w:rsidRPr="00CC79BD" w:rsidRDefault="00C644BE" w:rsidP="00C644BE">
      <w:pPr>
        <w:pStyle w:val="Sansinterligne"/>
        <w:rPr>
          <w:rFonts w:cs="Times New Roman (Titres CS)"/>
          <w:b/>
          <w:bCs/>
        </w:rPr>
      </w:pPr>
      <w:bookmarkStart w:id="3" w:name="_Toc144545256"/>
      <w:r w:rsidRPr="00CC79BD">
        <w:rPr>
          <w:b/>
          <w:bCs/>
        </w:rPr>
        <w:t>La conclusion</w:t>
      </w:r>
      <w:bookmarkEnd w:id="3"/>
    </w:p>
    <w:p w14:paraId="635ADF13" w14:textId="77777777" w:rsidR="00C644BE" w:rsidRPr="00CC79BD" w:rsidRDefault="00C644BE" w:rsidP="00C644BE">
      <w:pPr>
        <w:pStyle w:val="Sansinterligne"/>
        <w:rPr>
          <w:i/>
          <w:iCs/>
        </w:rPr>
      </w:pPr>
    </w:p>
    <w:p w14:paraId="302CCBEC" w14:textId="23ED13A0" w:rsidR="00C644BE" w:rsidRPr="00C644BE" w:rsidRDefault="00C644BE" w:rsidP="00C644BE">
      <w:pPr>
        <w:pStyle w:val="Sansinterligne"/>
        <w:rPr>
          <w:b/>
          <w:bCs/>
        </w:rPr>
      </w:pPr>
      <w:r w:rsidRPr="00C644BE">
        <w:rPr>
          <w:b/>
          <w:bCs/>
        </w:rPr>
        <w:t>Qualité de la r</w:t>
      </w:r>
      <w:r w:rsidRPr="00C644BE">
        <w:rPr>
          <w:b/>
          <w:bCs/>
        </w:rPr>
        <w:t>édaction</w:t>
      </w:r>
    </w:p>
    <w:p w14:paraId="578F5585" w14:textId="77777777" w:rsidR="00C644BE" w:rsidRDefault="00C644BE" w:rsidP="00C644BE">
      <w:pPr>
        <w:pStyle w:val="Sansinterligne"/>
        <w:rPr>
          <w:b/>
          <w:bCs/>
        </w:rPr>
      </w:pPr>
    </w:p>
    <w:p w14:paraId="47991589" w14:textId="77777777" w:rsidR="00C644BE" w:rsidRDefault="00C644BE" w:rsidP="00C644BE">
      <w:pPr>
        <w:pStyle w:val="Sansinterligne"/>
      </w:pPr>
    </w:p>
    <w:sectPr w:rsidR="00C644BE" w:rsidSect="00C644B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New Roman (Titres CS)">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F301A"/>
    <w:multiLevelType w:val="hybridMultilevel"/>
    <w:tmpl w:val="CBC87446"/>
    <w:lvl w:ilvl="0" w:tplc="C0E6EF1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9655D36"/>
    <w:multiLevelType w:val="hybridMultilevel"/>
    <w:tmpl w:val="39061160"/>
    <w:lvl w:ilvl="0" w:tplc="76EEF9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379476187">
    <w:abstractNumId w:val="1"/>
  </w:num>
  <w:num w:numId="2" w16cid:durableId="308826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F2B"/>
    <w:rsid w:val="001B0434"/>
    <w:rsid w:val="001E2148"/>
    <w:rsid w:val="002C5199"/>
    <w:rsid w:val="002F13D8"/>
    <w:rsid w:val="00375DC8"/>
    <w:rsid w:val="003A0F38"/>
    <w:rsid w:val="00767E95"/>
    <w:rsid w:val="007A2F2B"/>
    <w:rsid w:val="00902364"/>
    <w:rsid w:val="00A15FA2"/>
    <w:rsid w:val="00C03E85"/>
    <w:rsid w:val="00C644BE"/>
    <w:rsid w:val="00D46B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36B39"/>
  <w15:chartTrackingRefBased/>
  <w15:docId w15:val="{159E7AA1-CCD8-4B1E-A309-D7B82120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4BE"/>
    <w:pPr>
      <w:adjustRightInd w:val="0"/>
      <w:snapToGrid w:val="0"/>
      <w:spacing w:after="0" w:line="276" w:lineRule="auto"/>
      <w:jc w:val="both"/>
    </w:pPr>
    <w:rPr>
      <w:rFonts w:ascii="Tahoma" w:eastAsiaTheme="minorEastAsia" w:hAnsi="Tahoma"/>
      <w:kern w:val="0"/>
      <w:sz w:val="24"/>
      <w:szCs w:val="24"/>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1B0434"/>
  </w:style>
  <w:style w:type="character" w:customStyle="1" w:styleId="Style1Car">
    <w:name w:val="Style1 Car"/>
    <w:basedOn w:val="Policepardfaut"/>
    <w:link w:val="Style1"/>
    <w:rsid w:val="001B0434"/>
    <w:rPr>
      <w:rFonts w:ascii="Garamond" w:hAnsi="Garamond"/>
      <w:sz w:val="24"/>
    </w:rPr>
  </w:style>
  <w:style w:type="paragraph" w:styleId="Sansinterligne">
    <w:name w:val="No Spacing"/>
    <w:uiPriority w:val="1"/>
    <w:qFormat/>
    <w:rsid w:val="001B0434"/>
    <w:pPr>
      <w:spacing w:after="0" w:line="240" w:lineRule="auto"/>
    </w:pPr>
    <w:rPr>
      <w:rFonts w:ascii="Garamond" w:hAnsi="Garamond"/>
      <w:sz w:val="24"/>
    </w:rPr>
  </w:style>
  <w:style w:type="table" w:styleId="Grilledutableau">
    <w:name w:val="Table Grid"/>
    <w:basedOn w:val="TableauNormal"/>
    <w:uiPriority w:val="39"/>
    <w:rsid w:val="00C64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1539</Words>
  <Characters>8467</Characters>
  <Application>Microsoft Office Word</Application>
  <DocSecurity>0</DocSecurity>
  <Lines>70</Lines>
  <Paragraphs>19</Paragraphs>
  <ScaleCrop>false</ScaleCrop>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Escude</dc:creator>
  <cp:keywords/>
  <dc:description/>
  <cp:lastModifiedBy>Laurence Escude</cp:lastModifiedBy>
  <cp:revision>2</cp:revision>
  <dcterms:created xsi:type="dcterms:W3CDTF">2023-09-05T10:00:00Z</dcterms:created>
  <dcterms:modified xsi:type="dcterms:W3CDTF">2023-09-05T10:04:00Z</dcterms:modified>
</cp:coreProperties>
</file>