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4F2" w14:textId="33D24F1D" w:rsidR="002B2982" w:rsidRPr="0094532D" w:rsidRDefault="002B2982" w:rsidP="002B2982">
      <w:pPr>
        <w:pStyle w:val="Sansinterligne"/>
        <w:rPr>
          <w:i/>
          <w:iCs/>
          <w:sz w:val="22"/>
        </w:rPr>
      </w:pPr>
      <w:r w:rsidRPr="002B2982">
        <w:rPr>
          <w:sz w:val="22"/>
        </w:rPr>
        <w:t xml:space="preserve">Ozenne – TB-BCPST </w:t>
      </w:r>
      <w:r w:rsidRPr="002B2982">
        <w:rPr>
          <w:i/>
          <w:iCs/>
          <w:sz w:val="22"/>
        </w:rPr>
        <w:t>Faire croire</w:t>
      </w:r>
    </w:p>
    <w:p w14:paraId="5C134867" w14:textId="55857C25" w:rsidR="002B2982" w:rsidRDefault="002B2982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  <w:r>
        <w:rPr>
          <w:b/>
          <w:bCs/>
          <w:sz w:val="22"/>
          <w:highlight w:val="lightGray"/>
        </w:rPr>
        <w:t>PLAN INTRODUCTION</w:t>
      </w:r>
    </w:p>
    <w:p w14:paraId="67BDD44B" w14:textId="77777777" w:rsidR="002B2982" w:rsidRDefault="002B2982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</w:p>
    <w:p w14:paraId="4B52AA6E" w14:textId="6ACD7992" w:rsidR="005135C3" w:rsidRPr="009012AC" w:rsidRDefault="009012AC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  <w:r>
        <w:rPr>
          <w:b/>
          <w:bCs/>
          <w:sz w:val="22"/>
          <w:highlight w:val="lightGray"/>
        </w:rPr>
        <w:t xml:space="preserve">Partie 1 - </w:t>
      </w:r>
      <w:r w:rsidR="005135C3" w:rsidRPr="009012AC">
        <w:rPr>
          <w:b/>
          <w:bCs/>
          <w:sz w:val="22"/>
          <w:highlight w:val="lightGray"/>
        </w:rPr>
        <w:t>Le besoin de croire</w:t>
      </w:r>
    </w:p>
    <w:p w14:paraId="46C3CC3B" w14:textId="77777777" w:rsidR="005135C3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Définitions</w:t>
      </w:r>
    </w:p>
    <w:p w14:paraId="02AC87BC" w14:textId="1BC6E5B6" w:rsidR="001F6696" w:rsidRDefault="00000000" w:rsidP="001F6696">
      <w:pPr>
        <w:pStyle w:val="Sansinterligne"/>
      </w:pPr>
      <w:hyperlink r:id="rId5" w:history="1">
        <w:r w:rsidR="001F6696" w:rsidRPr="00DF3E40">
          <w:rPr>
            <w:rStyle w:val="Lienhypertexte"/>
          </w:rPr>
          <w:t>https://www.facebook.com/allocine/videos/sc%C3%A8ne-culte-matrix/325992114663503/?locale=fr_FR</w:t>
        </w:r>
      </w:hyperlink>
    </w:p>
    <w:p w14:paraId="3482AA7A" w14:textId="55824C0E" w:rsidR="0094532D" w:rsidRPr="0094532D" w:rsidRDefault="00000000" w:rsidP="001F6696">
      <w:pPr>
        <w:pStyle w:val="Sansinterligne"/>
        <w:rPr>
          <w:color w:val="0070C0"/>
          <w:sz w:val="22"/>
        </w:rPr>
      </w:pPr>
      <w:hyperlink r:id="rId6" w:history="1">
        <w:r w:rsidR="0094532D" w:rsidRPr="0094532D">
          <w:rPr>
            <w:rStyle w:val="Lienhypertexte"/>
            <w:color w:val="0070C0"/>
            <w:sz w:val="22"/>
            <w:u w:val="none"/>
          </w:rPr>
          <w:t>https://www.youtube.com/watch?v=IDsTtC2ApAg</w:t>
        </w:r>
      </w:hyperlink>
    </w:p>
    <w:p w14:paraId="607EC6AD" w14:textId="5A6636E4" w:rsidR="005135C3" w:rsidRPr="009012AC" w:rsidRDefault="005135C3" w:rsidP="005135C3">
      <w:pPr>
        <w:pStyle w:val="Sansinterligne"/>
        <w:rPr>
          <w:rStyle w:val="markedcontent"/>
          <w:b/>
          <w:bCs/>
          <w:sz w:val="22"/>
        </w:rPr>
      </w:pPr>
      <w:r w:rsidRPr="009012AC">
        <w:rPr>
          <w:b/>
          <w:bCs/>
          <w:sz w:val="22"/>
        </w:rPr>
        <w:t xml:space="preserve">11- Croire – </w:t>
      </w:r>
    </w:p>
    <w:p w14:paraId="7A98D37B" w14:textId="77777777" w:rsidR="005135C3" w:rsidRPr="009012AC" w:rsidRDefault="005135C3" w:rsidP="005135C3">
      <w:pPr>
        <w:pStyle w:val="Sansinterligne"/>
        <w:rPr>
          <w:rStyle w:val="markedcontent"/>
          <w:b/>
          <w:bCs/>
          <w:sz w:val="22"/>
        </w:rPr>
      </w:pPr>
      <w:r w:rsidRPr="009012AC">
        <w:rPr>
          <w:rStyle w:val="markedcontent"/>
          <w:b/>
          <w:bCs/>
          <w:sz w:val="22"/>
        </w:rPr>
        <w:t>12- Faire croire</w:t>
      </w:r>
    </w:p>
    <w:p w14:paraId="1F7C5C33" w14:textId="7EB0CE59" w:rsidR="005135C3" w:rsidRPr="009012AC" w:rsidRDefault="009012AC" w:rsidP="005135C3">
      <w:pPr>
        <w:pStyle w:val="Sansinterligne"/>
        <w:rPr>
          <w:sz w:val="22"/>
        </w:rPr>
      </w:pPr>
      <w:r>
        <w:rPr>
          <w:rStyle w:val="markedcontent"/>
          <w:sz w:val="22"/>
        </w:rPr>
        <w:t xml:space="preserve">* </w:t>
      </w:r>
      <w:r w:rsidR="005135C3" w:rsidRPr="009012AC">
        <w:rPr>
          <w:rStyle w:val="markedcontent"/>
          <w:sz w:val="22"/>
        </w:rPr>
        <w:t>Syntaxe </w:t>
      </w:r>
      <w:r>
        <w:rPr>
          <w:sz w:val="22"/>
        </w:rPr>
        <w:t>*</w:t>
      </w:r>
      <w:r w:rsidR="005135C3" w:rsidRPr="009012AC">
        <w:rPr>
          <w:sz w:val="22"/>
        </w:rPr>
        <w:t>Définition</w:t>
      </w:r>
    </w:p>
    <w:p w14:paraId="00E9E640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13- Croire / faire croire : un certain rapport à la vérité </w:t>
      </w:r>
    </w:p>
    <w:p w14:paraId="2832D0EF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131- Définitions</w:t>
      </w:r>
    </w:p>
    <w:p w14:paraId="408636B2" w14:textId="77777777" w:rsidR="005135C3" w:rsidRPr="009012AC" w:rsidRDefault="005135C3" w:rsidP="005135C3">
      <w:pPr>
        <w:pStyle w:val="Sansinterligne"/>
        <w:ind w:firstLine="708"/>
        <w:rPr>
          <w:sz w:val="22"/>
        </w:rPr>
      </w:pPr>
      <w:r w:rsidRPr="009012AC">
        <w:rPr>
          <w:b/>
          <w:bCs/>
          <w:sz w:val="22"/>
        </w:rPr>
        <w:t xml:space="preserve">132- La vérité / les vérités </w:t>
      </w:r>
    </w:p>
    <w:p w14:paraId="5C836E54" w14:textId="5FE92185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La vérité</w:t>
      </w:r>
      <w:r w:rsidR="009012AC">
        <w:rPr>
          <w:sz w:val="22"/>
        </w:rPr>
        <w:t xml:space="preserve"> </w:t>
      </w:r>
      <w:r w:rsidRPr="009012AC">
        <w:rPr>
          <w:sz w:val="22"/>
        </w:rPr>
        <w:t xml:space="preserve">* LES vérités : Vérités de fait - Vérités de raison ou de raisonnement - Vérités subjectives </w:t>
      </w:r>
    </w:p>
    <w:p w14:paraId="392C8454" w14:textId="77777777" w:rsidR="005135C3" w:rsidRPr="009012AC" w:rsidRDefault="005135C3" w:rsidP="005135C3">
      <w:pPr>
        <w:pStyle w:val="Sansinterligne"/>
        <w:rPr>
          <w:sz w:val="22"/>
        </w:rPr>
      </w:pPr>
    </w:p>
    <w:p w14:paraId="7BDD4EFF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Croire</w:t>
      </w:r>
    </w:p>
    <w:p w14:paraId="742C8D96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21- Croire / croyance(s)</w:t>
      </w:r>
    </w:p>
    <w:p w14:paraId="218D5FAA" w14:textId="5E91DB83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  <w:lang w:eastAsia="fr-FR"/>
        </w:rPr>
        <w:t>* Différences</w:t>
      </w:r>
      <w:r w:rsidR="009012AC">
        <w:rPr>
          <w:sz w:val="22"/>
          <w:lang w:eastAsia="fr-FR"/>
        </w:rPr>
        <w:t xml:space="preserve"> </w:t>
      </w:r>
      <w:r w:rsidRPr="009012AC">
        <w:rPr>
          <w:sz w:val="22"/>
        </w:rPr>
        <w:t xml:space="preserve">* La croyance et les croyances </w:t>
      </w:r>
    </w:p>
    <w:p w14:paraId="479BCEE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22- Polysémie du terme « croire »</w:t>
      </w:r>
    </w:p>
    <w:p w14:paraId="3F5C6A93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Les degrés du croire. </w:t>
      </w:r>
    </w:p>
    <w:p w14:paraId="57716543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Une attitude mentale d’acceptation ou d’assentiment paradoxale.</w:t>
      </w:r>
    </w:p>
    <w:p w14:paraId="3446AFB4" w14:textId="77777777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</w:rPr>
        <w:t xml:space="preserve">* </w:t>
      </w:r>
      <w:r w:rsidRPr="009012AC">
        <w:rPr>
          <w:sz w:val="22"/>
          <w:lang w:eastAsia="fr-FR"/>
        </w:rPr>
        <w:t>Croire : le rôle de l’imagination</w:t>
      </w:r>
    </w:p>
    <w:p w14:paraId="16CF699B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Des phénomènes toujours conditionnés par les temporalités historiques. </w:t>
      </w:r>
    </w:p>
    <w:p w14:paraId="2C8AFD48" w14:textId="77777777" w:rsidR="005135C3" w:rsidRPr="009012AC" w:rsidRDefault="005135C3" w:rsidP="005135C3">
      <w:pPr>
        <w:pStyle w:val="Sansinterligne"/>
        <w:rPr>
          <w:sz w:val="22"/>
        </w:rPr>
      </w:pPr>
    </w:p>
    <w:p w14:paraId="6B236BE0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Croire, un besoin vital ?</w:t>
      </w:r>
    </w:p>
    <w:p w14:paraId="48EE5D78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Croire : la nécessité vitale de donner du sens</w:t>
      </w:r>
    </w:p>
    <w:p w14:paraId="7B84B06A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Le besoin d’une figure d’autorité / de référence</w:t>
      </w:r>
    </w:p>
    <w:p w14:paraId="7BC12AEF" w14:textId="484ECFF3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Dans le domaine politique</w:t>
      </w:r>
      <w:r w:rsidR="009012AC">
        <w:rPr>
          <w:sz w:val="22"/>
        </w:rPr>
        <w:t xml:space="preserve"> </w:t>
      </w:r>
      <w:r w:rsidRPr="009012AC">
        <w:rPr>
          <w:sz w:val="22"/>
        </w:rPr>
        <w:t>* Le besoin d’une figure paternelle</w:t>
      </w:r>
    </w:p>
    <w:p w14:paraId="3C98FC2D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33- Croire : une pratique sociale</w:t>
      </w:r>
    </w:p>
    <w:p w14:paraId="540F0CCF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321- Croire implique toujours un rapport à l’autre</w:t>
      </w:r>
    </w:p>
    <w:p w14:paraId="606B3F75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Croire, un acte de parole</w:t>
      </w:r>
    </w:p>
    <w:p w14:paraId="0D6E58AE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Confiance nécessaire, qui fonde toute </w:t>
      </w:r>
      <w:proofErr w:type="spellStart"/>
      <w:r w:rsidRPr="009012AC">
        <w:rPr>
          <w:sz w:val="22"/>
        </w:rPr>
        <w:t>sié</w:t>
      </w:r>
      <w:proofErr w:type="spellEnd"/>
    </w:p>
    <w:p w14:paraId="25D6BF6B" w14:textId="192813E6" w:rsidR="00342B71" w:rsidRPr="009012AC" w:rsidRDefault="00342B71" w:rsidP="005135C3">
      <w:pPr>
        <w:pStyle w:val="Sansinterligne"/>
        <w:rPr>
          <w:sz w:val="22"/>
        </w:rPr>
      </w:pPr>
      <w:r w:rsidRPr="009012AC">
        <w:rPr>
          <w:sz w:val="22"/>
        </w:rPr>
        <w:t>* On croit pour faire socle de valeurs communes.</w:t>
      </w:r>
    </w:p>
    <w:p w14:paraId="5D4CB146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 acte qui relève d’un échange </w:t>
      </w:r>
    </w:p>
    <w:p w14:paraId="6239AEC2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On croit avec</w:t>
      </w:r>
    </w:p>
    <w:p w14:paraId="59F22AA2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  <w:lang w:eastAsia="fr-FR"/>
        </w:rPr>
      </w:pPr>
      <w:r w:rsidRPr="009012AC">
        <w:rPr>
          <w:b/>
          <w:bCs/>
          <w:sz w:val="22"/>
          <w:lang w:eastAsia="fr-FR"/>
        </w:rPr>
        <w:t>322- Croire suppose une autorité</w:t>
      </w:r>
    </w:p>
    <w:p w14:paraId="383E3556" w14:textId="200A5AEC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  <w:lang w:eastAsia="fr-FR"/>
        </w:rPr>
        <w:t>* L’autre comme garant</w:t>
      </w:r>
      <w:r w:rsidR="009012AC">
        <w:rPr>
          <w:sz w:val="22"/>
          <w:lang w:eastAsia="fr-FR"/>
        </w:rPr>
        <w:t xml:space="preserve"> </w:t>
      </w:r>
      <w:r w:rsidRPr="009012AC">
        <w:rPr>
          <w:sz w:val="22"/>
          <w:lang w:eastAsia="fr-FR"/>
        </w:rPr>
        <w:t>* Les institutions du croire (Certeau)</w:t>
      </w:r>
    </w:p>
    <w:p w14:paraId="4590F5B0" w14:textId="77777777" w:rsidR="005135C3" w:rsidRPr="009012AC" w:rsidRDefault="005135C3" w:rsidP="005135C3">
      <w:pPr>
        <w:pStyle w:val="Sansinterligne"/>
        <w:rPr>
          <w:sz w:val="22"/>
          <w:lang w:eastAsia="fr-FR"/>
        </w:rPr>
      </w:pPr>
    </w:p>
    <w:p w14:paraId="652E4BC9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transformations historiques du croire</w:t>
      </w:r>
    </w:p>
    <w:p w14:paraId="3C1E389C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41- De la croyance religieuse à la croyance politique ou idéologie</w:t>
      </w:r>
    </w:p>
    <w:p w14:paraId="20AFF784" w14:textId="2FD701B0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De l’institution religieuse </w:t>
      </w:r>
      <w:r w:rsidR="009012AC">
        <w:rPr>
          <w:sz w:val="22"/>
        </w:rPr>
        <w:t>*</w:t>
      </w:r>
      <w:r w:rsidRPr="009012AC">
        <w:rPr>
          <w:sz w:val="22"/>
        </w:rPr>
        <w:t>… à l’institution politique </w:t>
      </w:r>
    </w:p>
    <w:p w14:paraId="19B7550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42- Aujourd’hui : la crise du croire ?</w:t>
      </w:r>
    </w:p>
    <w:p w14:paraId="3F910E7A" w14:textId="66687E20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Une nouvelle manière d’envisager le croire * L’ère de la post vérité</w:t>
      </w:r>
    </w:p>
    <w:p w14:paraId="15BF6600" w14:textId="77777777" w:rsidR="001C0879" w:rsidRPr="009012AC" w:rsidRDefault="001C0879" w:rsidP="005135C3">
      <w:pPr>
        <w:pStyle w:val="Sansinterligne"/>
        <w:rPr>
          <w:sz w:val="22"/>
        </w:rPr>
      </w:pPr>
    </w:p>
    <w:p w14:paraId="04D78502" w14:textId="77777777" w:rsidR="005135C3" w:rsidRPr="009012AC" w:rsidRDefault="005135C3" w:rsidP="005135C3">
      <w:pPr>
        <w:pStyle w:val="Sansinterligne"/>
        <w:rPr>
          <w:sz w:val="22"/>
        </w:rPr>
      </w:pPr>
    </w:p>
    <w:p w14:paraId="64F25A05" w14:textId="10DFB743" w:rsidR="005135C3" w:rsidRPr="009012AC" w:rsidRDefault="009012AC" w:rsidP="005135C3">
      <w:pPr>
        <w:pStyle w:val="Sansinterligne"/>
        <w:jc w:val="center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Partie</w:t>
      </w:r>
      <w:r w:rsidR="005135C3" w:rsidRPr="009012AC">
        <w:rPr>
          <w:b/>
          <w:bCs/>
          <w:sz w:val="22"/>
          <w:highlight w:val="lightGray"/>
        </w:rPr>
        <w:t xml:space="preserve"> 2- Faire croire</w:t>
      </w:r>
    </w:p>
    <w:p w14:paraId="40746C79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</w:p>
    <w:p w14:paraId="33D027E4" w14:textId="0254A0E8" w:rsidR="005135C3" w:rsidRPr="009012AC" w:rsidRDefault="005135C3" w:rsidP="005135C3">
      <w:pPr>
        <w:pStyle w:val="Sansinterligne"/>
        <w:numPr>
          <w:ilvl w:val="0"/>
          <w:numId w:val="4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stratégies pour faire croire.</w:t>
      </w:r>
    </w:p>
    <w:p w14:paraId="53972EB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11- FC, un art dévoyé de la parole</w:t>
      </w:r>
    </w:p>
    <w:p w14:paraId="69E72679" w14:textId="77777777" w:rsidR="005135C3" w:rsidRPr="00230B1C" w:rsidRDefault="005135C3" w:rsidP="005135C3">
      <w:pPr>
        <w:pStyle w:val="Sansinterligne"/>
        <w:ind w:firstLine="708"/>
        <w:rPr>
          <w:b/>
          <w:bCs/>
          <w:sz w:val="20"/>
          <w:szCs w:val="20"/>
        </w:rPr>
      </w:pPr>
      <w:r w:rsidRPr="00230B1C">
        <w:rPr>
          <w:b/>
          <w:bCs/>
          <w:sz w:val="20"/>
          <w:szCs w:val="20"/>
        </w:rPr>
        <w:t>111- Une situation de communication</w:t>
      </w:r>
    </w:p>
    <w:p w14:paraId="192B9788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>Faire croire met en œuvre une situation de communication</w:t>
      </w:r>
    </w:p>
    <w:p w14:paraId="38610696" w14:textId="77777777" w:rsidR="00230B1C" w:rsidRPr="00230B1C" w:rsidRDefault="00230B1C" w:rsidP="00230B1C">
      <w:pPr>
        <w:pStyle w:val="Sansinterligne"/>
        <w:rPr>
          <w:b/>
          <w:bCs/>
          <w:sz w:val="20"/>
          <w:szCs w:val="20"/>
        </w:rPr>
      </w:pPr>
      <w:r w:rsidRPr="00230B1C">
        <w:rPr>
          <w:b/>
          <w:bCs/>
          <w:sz w:val="20"/>
          <w:szCs w:val="20"/>
        </w:rPr>
        <w:t>* Dans le cadre d’un l’échange linguistique – selon Jakobson.</w:t>
      </w:r>
    </w:p>
    <w:p w14:paraId="7D467B96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D'après </w:t>
      </w:r>
      <w:hyperlink r:id="rId7" w:tooltip="Roman Jakobson" w:history="1">
        <w:r w:rsidRPr="00230B1C">
          <w:rPr>
            <w:sz w:val="20"/>
            <w:szCs w:val="20"/>
            <w:lang w:eastAsia="fr-FR"/>
          </w:rPr>
          <w:t>Roman Jakobson</w:t>
        </w:r>
      </w:hyperlink>
      <w:r w:rsidRPr="00230B1C">
        <w:rPr>
          <w:sz w:val="20"/>
          <w:szCs w:val="20"/>
          <w:lang w:eastAsia="fr-FR"/>
        </w:rPr>
        <w:t xml:space="preserve">, « le langage doit être étudié dans toutes ses fonctions ». C'est-à-dire que le linguiste doit s'attacher à comprendre à quoi sert le langage, et s'il sert à plusieurs choses. « Pour donner une idée de ses fonctions, un aperçu sommaire portant sur les facteurs constitutifs de tout procès </w:t>
      </w:r>
      <w:hyperlink r:id="rId8" w:tooltip="Linguistique" w:history="1">
        <w:r w:rsidRPr="00230B1C">
          <w:rPr>
            <w:sz w:val="20"/>
            <w:szCs w:val="20"/>
            <w:lang w:eastAsia="fr-FR"/>
          </w:rPr>
          <w:t>linguistique</w:t>
        </w:r>
      </w:hyperlink>
      <w:r w:rsidRPr="00230B1C">
        <w:rPr>
          <w:sz w:val="20"/>
          <w:szCs w:val="20"/>
          <w:lang w:eastAsia="fr-FR"/>
        </w:rPr>
        <w:t xml:space="preserve">, de tout acte de communication verbale, est nécessaire ». Les voici : </w:t>
      </w:r>
    </w:p>
    <w:p w14:paraId="14001431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Le </w:t>
      </w:r>
      <w:r w:rsidRPr="00230B1C">
        <w:rPr>
          <w:b/>
          <w:bCs/>
          <w:sz w:val="20"/>
          <w:szCs w:val="20"/>
          <w:lang w:eastAsia="fr-FR"/>
        </w:rPr>
        <w:t>message</w:t>
      </w:r>
      <w:r w:rsidRPr="00230B1C">
        <w:rPr>
          <w:sz w:val="20"/>
          <w:szCs w:val="20"/>
          <w:lang w:eastAsia="fr-FR"/>
        </w:rPr>
        <w:t xml:space="preserve"> lui-même</w:t>
      </w:r>
    </w:p>
    <w:p w14:paraId="62136873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Le </w:t>
      </w:r>
      <w:r w:rsidRPr="00230B1C">
        <w:rPr>
          <w:b/>
          <w:bCs/>
          <w:sz w:val="20"/>
          <w:szCs w:val="20"/>
          <w:lang w:eastAsia="fr-FR"/>
        </w:rPr>
        <w:t>destinateur ou émetteur</w:t>
      </w:r>
      <w:r w:rsidRPr="00230B1C">
        <w:rPr>
          <w:sz w:val="20"/>
          <w:szCs w:val="20"/>
          <w:lang w:eastAsia="fr-FR"/>
        </w:rPr>
        <w:t xml:space="preserve"> envoie un message au destinataire ;</w:t>
      </w:r>
    </w:p>
    <w:p w14:paraId="1D9AFD04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lastRenderedPageBreak/>
        <w:t xml:space="preserve">Le </w:t>
      </w:r>
      <w:r w:rsidRPr="00230B1C">
        <w:rPr>
          <w:b/>
          <w:bCs/>
          <w:sz w:val="20"/>
          <w:szCs w:val="20"/>
          <w:lang w:eastAsia="fr-FR"/>
        </w:rPr>
        <w:t>destinataire</w:t>
      </w:r>
      <w:r w:rsidRPr="00230B1C">
        <w:rPr>
          <w:sz w:val="20"/>
          <w:szCs w:val="20"/>
          <w:lang w:eastAsia="fr-FR"/>
        </w:rPr>
        <w:t xml:space="preserve"> est censé recevoir le message ;</w:t>
      </w:r>
    </w:p>
    <w:p w14:paraId="5DE931E2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Pour être opérant, le message requiert d'abord un </w:t>
      </w:r>
      <w:r w:rsidRPr="00230B1C">
        <w:rPr>
          <w:b/>
          <w:bCs/>
          <w:sz w:val="20"/>
          <w:szCs w:val="20"/>
          <w:lang w:eastAsia="fr-FR"/>
        </w:rPr>
        <w:t>contexte</w:t>
      </w:r>
      <w:r w:rsidRPr="00230B1C">
        <w:rPr>
          <w:sz w:val="20"/>
          <w:szCs w:val="20"/>
          <w:lang w:eastAsia="fr-FR"/>
        </w:rPr>
        <w:t xml:space="preserve"> auquel il renvoie, contexte saisissable par le destinataire ;</w:t>
      </w:r>
    </w:p>
    <w:p w14:paraId="562B841E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Le message requiert un </w:t>
      </w:r>
      <w:r w:rsidRPr="00230B1C">
        <w:rPr>
          <w:b/>
          <w:bCs/>
          <w:sz w:val="20"/>
          <w:szCs w:val="20"/>
          <w:lang w:eastAsia="fr-FR"/>
        </w:rPr>
        <w:t>code</w:t>
      </w:r>
      <w:r w:rsidRPr="00230B1C">
        <w:rPr>
          <w:sz w:val="20"/>
          <w:szCs w:val="20"/>
          <w:lang w:eastAsia="fr-FR"/>
        </w:rPr>
        <w:t>, commun, en tout ou au moins en partie, au destinateur et au destinataire ;</w:t>
      </w:r>
    </w:p>
    <w:p w14:paraId="5E7844A5" w14:textId="77777777" w:rsidR="00230B1C" w:rsidRPr="00230B1C" w:rsidRDefault="00230B1C" w:rsidP="00230B1C">
      <w:pPr>
        <w:pStyle w:val="Sansinterligne"/>
        <w:rPr>
          <w:sz w:val="20"/>
          <w:szCs w:val="20"/>
          <w:lang w:eastAsia="fr-FR"/>
        </w:rPr>
      </w:pPr>
      <w:r w:rsidRPr="00230B1C">
        <w:rPr>
          <w:sz w:val="20"/>
          <w:szCs w:val="20"/>
          <w:lang w:eastAsia="fr-FR"/>
        </w:rPr>
        <w:t xml:space="preserve">Le message requiert un </w:t>
      </w:r>
      <w:r w:rsidRPr="00230B1C">
        <w:rPr>
          <w:b/>
          <w:bCs/>
          <w:sz w:val="20"/>
          <w:szCs w:val="20"/>
          <w:lang w:eastAsia="fr-FR"/>
        </w:rPr>
        <w:t>contact</w:t>
      </w:r>
      <w:r w:rsidRPr="00230B1C">
        <w:rPr>
          <w:sz w:val="20"/>
          <w:szCs w:val="20"/>
          <w:lang w:eastAsia="fr-FR"/>
        </w:rPr>
        <w:t>, un canal physique et une connexion psychologique entre le destinateur et le destinataire, contact qui leur permet d'établir et de maintenir la communication.</w:t>
      </w:r>
    </w:p>
    <w:p w14:paraId="46EE4E4D" w14:textId="77777777" w:rsidR="00230B1C" w:rsidRPr="00230B1C" w:rsidRDefault="00230B1C" w:rsidP="00230B1C">
      <w:pPr>
        <w:rPr>
          <w:b/>
          <w:bCs/>
          <w:sz w:val="20"/>
          <w:szCs w:val="20"/>
        </w:rPr>
      </w:pPr>
    </w:p>
    <w:p w14:paraId="3F3EAA14" w14:textId="77777777" w:rsidR="00230B1C" w:rsidRPr="00230B1C" w:rsidRDefault="00230B1C" w:rsidP="00230B1C">
      <w:pPr>
        <w:pStyle w:val="Sansinterligne"/>
        <w:rPr>
          <w:b/>
          <w:bCs/>
          <w:sz w:val="20"/>
          <w:szCs w:val="20"/>
        </w:rPr>
      </w:pPr>
      <w:r w:rsidRPr="00230B1C">
        <w:rPr>
          <w:b/>
          <w:bCs/>
          <w:sz w:val="20"/>
          <w:szCs w:val="20"/>
        </w:rPr>
        <w:t>* Les différents types de communication pour transmettre un message</w:t>
      </w:r>
    </w:p>
    <w:p w14:paraId="620F8D64" w14:textId="77777777" w:rsidR="00230B1C" w:rsidRPr="00230B1C" w:rsidRDefault="00230B1C" w:rsidP="00230B1C">
      <w:pPr>
        <w:pStyle w:val="Sansinterligne"/>
        <w:rPr>
          <w:sz w:val="20"/>
          <w:szCs w:val="20"/>
          <w:u w:val="single"/>
        </w:rPr>
      </w:pPr>
      <w:r w:rsidRPr="00230B1C">
        <w:rPr>
          <w:sz w:val="20"/>
          <w:szCs w:val="20"/>
          <w:u w:val="single"/>
        </w:rPr>
        <w:t>La communication visuelle</w:t>
      </w:r>
      <w:r w:rsidRPr="00230B1C">
        <w:rPr>
          <w:sz w:val="20"/>
          <w:szCs w:val="20"/>
        </w:rPr>
        <w:t xml:space="preserve"> permet de transmettre un message sans utiliser de mots. Ici, l’émetteur utilisera des </w:t>
      </w:r>
      <w:r w:rsidRPr="00230B1C">
        <w:rPr>
          <w:rStyle w:val="lev"/>
          <w:sz w:val="20"/>
          <w:szCs w:val="20"/>
        </w:rPr>
        <w:t>signes</w:t>
      </w:r>
      <w:r w:rsidRPr="00230B1C">
        <w:rPr>
          <w:sz w:val="20"/>
          <w:szCs w:val="20"/>
        </w:rPr>
        <w:t xml:space="preserve">, des </w:t>
      </w:r>
      <w:r w:rsidRPr="00230B1C">
        <w:rPr>
          <w:rStyle w:val="lev"/>
          <w:sz w:val="20"/>
          <w:szCs w:val="20"/>
        </w:rPr>
        <w:t>gestes</w:t>
      </w:r>
      <w:r w:rsidRPr="00230B1C">
        <w:rPr>
          <w:sz w:val="20"/>
          <w:szCs w:val="20"/>
        </w:rPr>
        <w:t xml:space="preserve"> pour délivrer sa communication.</w:t>
      </w:r>
    </w:p>
    <w:p w14:paraId="09B02427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  <w:u w:val="single"/>
        </w:rPr>
        <w:t>La communication écrite</w:t>
      </w:r>
      <w:r w:rsidRPr="00230B1C">
        <w:rPr>
          <w:sz w:val="20"/>
          <w:szCs w:val="20"/>
        </w:rPr>
        <w:t xml:space="preserve"> requiert la </w:t>
      </w:r>
      <w:r w:rsidRPr="00230B1C">
        <w:rPr>
          <w:rStyle w:val="lev"/>
          <w:sz w:val="20"/>
          <w:szCs w:val="20"/>
        </w:rPr>
        <w:t>rédaction d’un message</w:t>
      </w:r>
      <w:r w:rsidRPr="00230B1C">
        <w:rPr>
          <w:sz w:val="20"/>
          <w:szCs w:val="20"/>
        </w:rPr>
        <w:t xml:space="preserve">. </w:t>
      </w:r>
    </w:p>
    <w:p w14:paraId="45679215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  <w:u w:val="single"/>
        </w:rPr>
        <w:t>La communication verbale</w:t>
      </w:r>
      <w:r w:rsidRPr="00230B1C">
        <w:rPr>
          <w:sz w:val="20"/>
          <w:szCs w:val="20"/>
        </w:rPr>
        <w:t xml:space="preserve"> est le mode de communication le plus courant - dès que l’on s’adresse à quelqu’un par la voix, que ce soit </w:t>
      </w:r>
      <w:r w:rsidRPr="00230B1C">
        <w:rPr>
          <w:rStyle w:val="lev"/>
          <w:sz w:val="20"/>
          <w:szCs w:val="20"/>
        </w:rPr>
        <w:t>en face à face ou en différé (au téléphone)</w:t>
      </w:r>
      <w:r w:rsidRPr="00230B1C">
        <w:rPr>
          <w:sz w:val="20"/>
          <w:szCs w:val="20"/>
        </w:rPr>
        <w:t xml:space="preserve">. Il s’agit du moyen le plus simple et rapide pour transmettre un message mais aussi du moyen le plus facile à mal interpréter. </w:t>
      </w:r>
    </w:p>
    <w:p w14:paraId="315C0606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  <w:u w:val="single"/>
        </w:rPr>
        <w:t>La communication non verbale</w:t>
      </w:r>
      <w:r w:rsidRPr="00230B1C">
        <w:rPr>
          <w:sz w:val="20"/>
          <w:szCs w:val="20"/>
        </w:rPr>
        <w:t xml:space="preserve"> est un type de communication inconscient. Elle comprend le langage corporel et le langage du visage. Les </w:t>
      </w:r>
      <w:r w:rsidRPr="00230B1C">
        <w:rPr>
          <w:rStyle w:val="lev"/>
          <w:sz w:val="20"/>
          <w:szCs w:val="20"/>
        </w:rPr>
        <w:t>mimiques faciales</w:t>
      </w:r>
      <w:r w:rsidRPr="00230B1C">
        <w:rPr>
          <w:sz w:val="20"/>
          <w:szCs w:val="20"/>
        </w:rPr>
        <w:t xml:space="preserve">, le </w:t>
      </w:r>
      <w:r w:rsidRPr="00230B1C">
        <w:rPr>
          <w:rStyle w:val="lev"/>
          <w:sz w:val="20"/>
          <w:szCs w:val="20"/>
        </w:rPr>
        <w:t>ton de la voix</w:t>
      </w:r>
      <w:r w:rsidRPr="00230B1C">
        <w:rPr>
          <w:sz w:val="20"/>
          <w:szCs w:val="20"/>
        </w:rPr>
        <w:t>, l’</w:t>
      </w:r>
      <w:r w:rsidRPr="00230B1C">
        <w:rPr>
          <w:rStyle w:val="lev"/>
          <w:sz w:val="20"/>
          <w:szCs w:val="20"/>
        </w:rPr>
        <w:t>orientation du regard</w:t>
      </w:r>
      <w:r w:rsidRPr="00230B1C">
        <w:rPr>
          <w:sz w:val="20"/>
          <w:szCs w:val="20"/>
        </w:rPr>
        <w:t xml:space="preserve"> traduisent nos émotions et intentions. Il est nécessaire d’observer la communication non verbale de nos interlocuteurs, car elle nous indique par exemple si le message semble être compris ou non.</w:t>
      </w:r>
    </w:p>
    <w:p w14:paraId="325FD837" w14:textId="77777777" w:rsidR="00230B1C" w:rsidRPr="00230B1C" w:rsidRDefault="00230B1C" w:rsidP="00230B1C">
      <w:pPr>
        <w:pStyle w:val="Sansinterligne"/>
        <w:rPr>
          <w:sz w:val="20"/>
          <w:szCs w:val="20"/>
        </w:rPr>
      </w:pPr>
    </w:p>
    <w:p w14:paraId="21F68D20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b/>
          <w:bCs/>
          <w:sz w:val="20"/>
          <w:szCs w:val="20"/>
        </w:rPr>
        <w:t>* Deux stratégies argumentatives</w:t>
      </w:r>
      <w:r w:rsidRPr="00230B1C">
        <w:rPr>
          <w:sz w:val="20"/>
          <w:szCs w:val="20"/>
        </w:rPr>
        <w:t> qui se mêlent souvent</w:t>
      </w:r>
    </w:p>
    <w:p w14:paraId="0A90C19F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 xml:space="preserve">- convaincre, &gt; lat. </w:t>
      </w:r>
      <w:proofErr w:type="spellStart"/>
      <w:r w:rsidRPr="00230B1C">
        <w:rPr>
          <w:i/>
          <w:iCs/>
          <w:sz w:val="20"/>
          <w:szCs w:val="20"/>
        </w:rPr>
        <w:t>docere</w:t>
      </w:r>
      <w:proofErr w:type="spellEnd"/>
      <w:r w:rsidRPr="00230B1C">
        <w:rPr>
          <w:sz w:val="20"/>
          <w:szCs w:val="20"/>
        </w:rPr>
        <w:t> : qd l’orateur fait appel au logos, à la raison, à l’esprit critique</w:t>
      </w:r>
    </w:p>
    <w:p w14:paraId="6E609EB1" w14:textId="77777777" w:rsidR="00230B1C" w:rsidRPr="00230B1C" w:rsidRDefault="00230B1C" w:rsidP="00230B1C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 xml:space="preserve">- persuader &gt; </w:t>
      </w:r>
      <w:proofErr w:type="spellStart"/>
      <w:r w:rsidRPr="00230B1C">
        <w:rPr>
          <w:i/>
          <w:iCs/>
          <w:sz w:val="20"/>
          <w:szCs w:val="20"/>
        </w:rPr>
        <w:t>delectarer</w:t>
      </w:r>
      <w:proofErr w:type="spellEnd"/>
      <w:r w:rsidRPr="00230B1C">
        <w:rPr>
          <w:sz w:val="20"/>
          <w:szCs w:val="20"/>
        </w:rPr>
        <w:t xml:space="preserve"> et </w:t>
      </w:r>
      <w:proofErr w:type="spellStart"/>
      <w:r w:rsidRPr="00230B1C">
        <w:rPr>
          <w:i/>
          <w:iCs/>
          <w:sz w:val="20"/>
          <w:szCs w:val="20"/>
        </w:rPr>
        <w:t>movere</w:t>
      </w:r>
      <w:proofErr w:type="spellEnd"/>
      <w:r w:rsidRPr="00230B1C">
        <w:rPr>
          <w:sz w:val="20"/>
          <w:szCs w:val="20"/>
        </w:rPr>
        <w:t xml:space="preserve"> : quand l’orateur s’appuie sur ses émotions, son imagination. </w:t>
      </w:r>
    </w:p>
    <w:p w14:paraId="63BBD88E" w14:textId="77777777" w:rsidR="005135C3" w:rsidRPr="00230B1C" w:rsidRDefault="005135C3" w:rsidP="005135C3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>* Dans le cadre d’un l’échange linguistique – selon Jakobson.</w:t>
      </w:r>
    </w:p>
    <w:p w14:paraId="386FAF4E" w14:textId="77777777" w:rsidR="005135C3" w:rsidRPr="00230B1C" w:rsidRDefault="005135C3" w:rsidP="005135C3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>* Les différents types de communication pour transmettre un message</w:t>
      </w:r>
    </w:p>
    <w:p w14:paraId="2FA51682" w14:textId="77777777" w:rsidR="005135C3" w:rsidRDefault="005135C3" w:rsidP="005135C3">
      <w:pPr>
        <w:pStyle w:val="Sansinterligne"/>
        <w:rPr>
          <w:sz w:val="20"/>
          <w:szCs w:val="20"/>
        </w:rPr>
      </w:pPr>
      <w:r w:rsidRPr="00230B1C">
        <w:rPr>
          <w:sz w:val="20"/>
          <w:szCs w:val="20"/>
        </w:rPr>
        <w:t>* Deux stratégies argumentatives qui se mêlent souvent</w:t>
      </w:r>
    </w:p>
    <w:p w14:paraId="3AF2BB81" w14:textId="77777777" w:rsidR="00230B1C" w:rsidRPr="00230B1C" w:rsidRDefault="00230B1C" w:rsidP="005135C3">
      <w:pPr>
        <w:pStyle w:val="Sansinterligne"/>
        <w:rPr>
          <w:sz w:val="20"/>
          <w:szCs w:val="20"/>
        </w:rPr>
      </w:pPr>
    </w:p>
    <w:p w14:paraId="6B5D4487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112- L’art rhétorique</w:t>
      </w:r>
    </w:p>
    <w:p w14:paraId="741ADDEF" w14:textId="68DE50E5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Le pouvoir de la rhétorique</w:t>
      </w:r>
    </w:p>
    <w:p w14:paraId="45C1136F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Rhétorique : controverse </w:t>
      </w:r>
    </w:p>
    <w:p w14:paraId="1B135BAC" w14:textId="77777777" w:rsidR="005135C3" w:rsidRPr="009012AC" w:rsidRDefault="005135C3" w:rsidP="005135C3">
      <w:pPr>
        <w:pStyle w:val="Sansinterligne"/>
        <w:rPr>
          <w:rFonts w:eastAsia="Times New Roman" w:cs="Times New Roman"/>
          <w:kern w:val="0"/>
          <w:sz w:val="22"/>
          <w:lang w:eastAsia="fr-FR"/>
          <w14:ligatures w14:val="none"/>
        </w:rPr>
      </w:pPr>
      <w:r w:rsidRPr="009012AC">
        <w:rPr>
          <w:rFonts w:eastAsia="Times New Roman" w:cs="Arial"/>
          <w:sz w:val="22"/>
          <w:lang w:eastAsia="fr-FR"/>
        </w:rPr>
        <w:t>* Une éthique pour le bon usage de la parole</w:t>
      </w:r>
    </w:p>
    <w:p w14:paraId="50B0A0DD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113- L’éthos de l’orateur</w:t>
      </w:r>
    </w:p>
    <w:p w14:paraId="23180DC9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114- Dévoyer le langage</w:t>
      </w:r>
    </w:p>
    <w:p w14:paraId="6CD5A724" w14:textId="77777777" w:rsidR="005135C3" w:rsidRPr="009012AC" w:rsidRDefault="005135C3" w:rsidP="005135C3">
      <w:pPr>
        <w:rPr>
          <w:sz w:val="22"/>
        </w:rPr>
      </w:pPr>
    </w:p>
    <w:p w14:paraId="5B7A0916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12- Comment faire croire</w:t>
      </w:r>
    </w:p>
    <w:p w14:paraId="73BB7851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121- Prouver. </w:t>
      </w:r>
    </w:p>
    <w:p w14:paraId="7A03A7C5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  <w:u w:val="single"/>
        </w:rPr>
      </w:pPr>
      <w:r w:rsidRPr="009012AC">
        <w:rPr>
          <w:b/>
          <w:bCs/>
          <w:sz w:val="22"/>
        </w:rPr>
        <w:t xml:space="preserve">122- En politique </w:t>
      </w:r>
    </w:p>
    <w:p w14:paraId="5F89DE13" w14:textId="17B8FD6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Aristote vs Platon - Opinion et vérité : la doxa des Grecs</w:t>
      </w:r>
      <w:r w:rsidR="009012AC">
        <w:rPr>
          <w:sz w:val="22"/>
        </w:rPr>
        <w:t xml:space="preserve"> </w:t>
      </w:r>
      <w:r w:rsidRPr="009012AC">
        <w:rPr>
          <w:sz w:val="22"/>
        </w:rPr>
        <w:t>* Machiavel</w:t>
      </w:r>
    </w:p>
    <w:p w14:paraId="2E9BDA94" w14:textId="165E9AA0" w:rsidR="005135C3" w:rsidRPr="009012AC" w:rsidRDefault="005135C3" w:rsidP="000E5B97">
      <w:pPr>
        <w:pStyle w:val="Sansinterligne"/>
        <w:ind w:firstLine="708"/>
        <w:rPr>
          <w:b/>
          <w:bCs/>
          <w:color w:val="00B050"/>
          <w:sz w:val="22"/>
        </w:rPr>
      </w:pPr>
      <w:r w:rsidRPr="009012AC">
        <w:rPr>
          <w:b/>
          <w:bCs/>
          <w:sz w:val="22"/>
        </w:rPr>
        <w:t>12</w:t>
      </w:r>
      <w:r w:rsidR="00D23AAD" w:rsidRPr="009012AC">
        <w:rPr>
          <w:b/>
          <w:bCs/>
          <w:sz w:val="22"/>
        </w:rPr>
        <w:t xml:space="preserve">3 </w:t>
      </w:r>
      <w:r w:rsidRPr="009012AC">
        <w:rPr>
          <w:b/>
          <w:bCs/>
          <w:sz w:val="22"/>
        </w:rPr>
        <w:t xml:space="preserve">- Faire croire : dissimuler ou montrer ? </w:t>
      </w:r>
    </w:p>
    <w:p w14:paraId="295E4535" w14:textId="77777777" w:rsidR="005135C3" w:rsidRPr="009012AC" w:rsidRDefault="005135C3" w:rsidP="00DB3182">
      <w:pPr>
        <w:pStyle w:val="Sansinterligne"/>
        <w:rPr>
          <w:b/>
          <w:bCs/>
          <w:sz w:val="22"/>
          <w:u w:val="single"/>
        </w:rPr>
      </w:pPr>
    </w:p>
    <w:p w14:paraId="00C9BEDE" w14:textId="1D227442" w:rsidR="000E5B97" w:rsidRPr="009012AC" w:rsidRDefault="000E5B97" w:rsidP="000E5B97">
      <w:pPr>
        <w:pStyle w:val="Sansinterligne"/>
        <w:numPr>
          <w:ilvl w:val="0"/>
          <w:numId w:val="5"/>
        </w:numPr>
        <w:rPr>
          <w:b/>
          <w:bCs/>
          <w:sz w:val="22"/>
          <w:u w:val="single"/>
        </w:rPr>
      </w:pPr>
      <w:bookmarkStart w:id="0" w:name="_Hlk143531204"/>
      <w:r w:rsidRPr="009012AC">
        <w:rPr>
          <w:b/>
          <w:bCs/>
          <w:sz w:val="22"/>
          <w:u w:val="single"/>
        </w:rPr>
        <w:t xml:space="preserve">FC, c’est manipuler </w:t>
      </w:r>
    </w:p>
    <w:p w14:paraId="56ABED44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21- Faire croire, c’est tromper</w:t>
      </w:r>
    </w:p>
    <w:p w14:paraId="1CBA2066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Pour satisfaire ses intérêts</w:t>
      </w:r>
    </w:p>
    <w:p w14:paraId="2B79AE11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22- FC, c’est porter atteinte à l’intégrité de l’autre – violence et FC</w:t>
      </w:r>
    </w:p>
    <w:p w14:paraId="761780D0" w14:textId="77777777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 xml:space="preserve">* C’est porter atteinte à sa liberté – </w:t>
      </w:r>
      <w:proofErr w:type="spellStart"/>
      <w:r w:rsidRPr="009012AC">
        <w:rPr>
          <w:sz w:val="22"/>
        </w:rPr>
        <w:t>tte</w:t>
      </w:r>
      <w:proofErr w:type="spellEnd"/>
      <w:r w:rsidRPr="009012AC">
        <w:rPr>
          <w:sz w:val="22"/>
        </w:rPr>
        <w:t xml:space="preserve"> croyance est abandon de la pensée (</w:t>
      </w:r>
      <w:proofErr w:type="spellStart"/>
      <w:r w:rsidRPr="009012AC">
        <w:rPr>
          <w:sz w:val="22"/>
        </w:rPr>
        <w:t>indiv</w:t>
      </w:r>
      <w:proofErr w:type="spellEnd"/>
      <w:r w:rsidRPr="009012AC">
        <w:rPr>
          <w:sz w:val="22"/>
        </w:rPr>
        <w:t>)</w:t>
      </w:r>
    </w:p>
    <w:p w14:paraId="7EB5A611" w14:textId="77777777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Qd la croyance s’érige en absolu – FC et répression sociale (collectif)</w:t>
      </w:r>
    </w:p>
    <w:p w14:paraId="19B0D9C8" w14:textId="7874F68A" w:rsidR="000E5B97" w:rsidRPr="009012AC" w:rsidRDefault="00EF664A" w:rsidP="00EF664A">
      <w:pPr>
        <w:pStyle w:val="Sansinterligne"/>
        <w:rPr>
          <w:sz w:val="22"/>
        </w:rPr>
      </w:pPr>
      <w:r w:rsidRPr="009012AC">
        <w:rPr>
          <w:b/>
          <w:bCs/>
          <w:sz w:val="22"/>
        </w:rPr>
        <w:t>23</w:t>
      </w:r>
      <w:r w:rsidR="000E5B97" w:rsidRPr="009012AC">
        <w:rPr>
          <w:b/>
          <w:bCs/>
          <w:sz w:val="22"/>
        </w:rPr>
        <w:t>- C’est se mentir à soi-même</w:t>
      </w:r>
    </w:p>
    <w:p w14:paraId="309F8E05" w14:textId="77777777" w:rsidR="000E5B97" w:rsidRPr="009012AC" w:rsidRDefault="000E5B97" w:rsidP="000E5B97">
      <w:pPr>
        <w:pStyle w:val="Sansinterligne"/>
        <w:rPr>
          <w:sz w:val="22"/>
        </w:rPr>
      </w:pPr>
    </w:p>
    <w:p w14:paraId="741830C7" w14:textId="77777777" w:rsidR="000E5B97" w:rsidRPr="009012AC" w:rsidRDefault="000E5B97" w:rsidP="000E5B97">
      <w:pPr>
        <w:pStyle w:val="Sansinterligne"/>
        <w:numPr>
          <w:ilvl w:val="0"/>
          <w:numId w:val="5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La condamnation du mensonge</w:t>
      </w:r>
    </w:p>
    <w:p w14:paraId="5F142FC3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Condamnation morale</w:t>
      </w:r>
    </w:p>
    <w:p w14:paraId="7DF2D747" w14:textId="1B551582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Platon : le mythe de la caverne</w:t>
      </w:r>
      <w:r w:rsidR="009012AC">
        <w:rPr>
          <w:sz w:val="22"/>
        </w:rPr>
        <w:t xml:space="preserve"> </w:t>
      </w:r>
      <w:r w:rsidRPr="009012AC">
        <w:rPr>
          <w:sz w:val="22"/>
        </w:rPr>
        <w:t>* Kant : la vérité comme impératif catégorique</w:t>
      </w:r>
    </w:p>
    <w:p w14:paraId="6839AF55" w14:textId="249AE0C3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Le mensonge : un danger pour la s</w:t>
      </w:r>
      <w:r w:rsidR="00014984" w:rsidRPr="009012AC">
        <w:rPr>
          <w:b/>
          <w:bCs/>
          <w:sz w:val="22"/>
        </w:rPr>
        <w:t>ociété</w:t>
      </w:r>
    </w:p>
    <w:p w14:paraId="07F187FD" w14:textId="47407862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Montaigne</w:t>
      </w:r>
      <w:r w:rsidR="009012AC">
        <w:rPr>
          <w:sz w:val="22"/>
        </w:rPr>
        <w:t xml:space="preserve"> </w:t>
      </w:r>
      <w:r w:rsidRPr="009012AC">
        <w:rPr>
          <w:sz w:val="22"/>
        </w:rPr>
        <w:t xml:space="preserve">* Mensonge et totalitarisme </w:t>
      </w:r>
      <w:r w:rsidR="009012AC">
        <w:rPr>
          <w:sz w:val="22"/>
        </w:rPr>
        <w:t>–</w:t>
      </w:r>
      <w:r w:rsidRPr="009012AC">
        <w:rPr>
          <w:sz w:val="22"/>
        </w:rPr>
        <w:t xml:space="preserve"> Koyré</w:t>
      </w:r>
      <w:r w:rsidR="009012AC">
        <w:rPr>
          <w:sz w:val="22"/>
        </w:rPr>
        <w:t xml:space="preserve"> </w:t>
      </w:r>
      <w:r w:rsidRPr="009012AC">
        <w:rPr>
          <w:sz w:val="22"/>
        </w:rPr>
        <w:t>* Mensonge et démocratie</w:t>
      </w:r>
    </w:p>
    <w:p w14:paraId="0DD776DA" w14:textId="1CDF0DC9" w:rsidR="006B4EA6" w:rsidRPr="009012AC" w:rsidRDefault="006B4EA6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33- Aujourd’hui : se prémunir contre </w:t>
      </w:r>
      <w:r w:rsidR="00014984" w:rsidRPr="009012AC">
        <w:rPr>
          <w:b/>
          <w:bCs/>
          <w:sz w:val="22"/>
        </w:rPr>
        <w:t xml:space="preserve">le </w:t>
      </w:r>
      <w:r w:rsidRPr="009012AC">
        <w:rPr>
          <w:b/>
          <w:bCs/>
          <w:sz w:val="22"/>
        </w:rPr>
        <w:t>mensonge</w:t>
      </w:r>
    </w:p>
    <w:p w14:paraId="5C9EE560" w14:textId="2346398F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331- Les institutions</w:t>
      </w:r>
    </w:p>
    <w:p w14:paraId="1DB8D22F" w14:textId="0C36A748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332- Les contre-pouvoir * la presse - * les lanceurs d’alerte </w:t>
      </w:r>
    </w:p>
    <w:p w14:paraId="56641270" w14:textId="0029A5DD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333- Le nécessaire débat en démocratie – Importance des corps intermédiaires</w:t>
      </w:r>
    </w:p>
    <w:p w14:paraId="08DB50E8" w14:textId="77777777" w:rsidR="00014984" w:rsidRPr="009012AC" w:rsidRDefault="00014984" w:rsidP="000E5B97">
      <w:pPr>
        <w:pStyle w:val="Sansinterligne"/>
        <w:rPr>
          <w:b/>
          <w:bCs/>
          <w:sz w:val="22"/>
        </w:rPr>
      </w:pPr>
    </w:p>
    <w:p w14:paraId="29019DB1" w14:textId="77777777" w:rsidR="006B4EA6" w:rsidRPr="009012AC" w:rsidRDefault="006B4EA6" w:rsidP="000E5B97">
      <w:pPr>
        <w:pStyle w:val="Sansinterligne"/>
        <w:rPr>
          <w:sz w:val="22"/>
        </w:rPr>
      </w:pPr>
    </w:p>
    <w:p w14:paraId="2C589DA7" w14:textId="77777777" w:rsidR="006B4EA6" w:rsidRPr="009012AC" w:rsidRDefault="006B4EA6" w:rsidP="006B4EA6">
      <w:pPr>
        <w:jc w:val="center"/>
        <w:rPr>
          <w:b/>
          <w:bCs/>
          <w:sz w:val="22"/>
        </w:rPr>
      </w:pPr>
      <w:r w:rsidRPr="009012AC">
        <w:rPr>
          <w:b/>
          <w:bCs/>
          <w:sz w:val="22"/>
          <w:highlight w:val="lightGray"/>
        </w:rPr>
        <w:t>3- Faire croire pour accéder au vrai ?</w:t>
      </w:r>
    </w:p>
    <w:p w14:paraId="5EA4E3D0" w14:textId="77777777" w:rsidR="006B4EA6" w:rsidRPr="009012AC" w:rsidRDefault="006B4EA6" w:rsidP="006B4EA6">
      <w:pPr>
        <w:rPr>
          <w:b/>
          <w:bCs/>
          <w:sz w:val="22"/>
        </w:rPr>
      </w:pPr>
    </w:p>
    <w:p w14:paraId="76C47BB9" w14:textId="77777777" w:rsidR="006B4EA6" w:rsidRPr="009012AC" w:rsidRDefault="006B4EA6" w:rsidP="006B4EA6">
      <w:pPr>
        <w:pStyle w:val="Sansinterligne"/>
        <w:numPr>
          <w:ilvl w:val="0"/>
          <w:numId w:val="8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Faire croire, au-delà du mensonge.</w:t>
      </w:r>
    </w:p>
    <w:p w14:paraId="6ACB6E40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11- FC, mentir : une capacité proprement humaine.</w:t>
      </w:r>
    </w:p>
    <w:p w14:paraId="19518BCE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12- Le mensonge peut être légitime / permis dans certaines circonstances.</w:t>
      </w:r>
    </w:p>
    <w:p w14:paraId="686D2FBB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Le mensonge peut être légitime, </w:t>
      </w:r>
    </w:p>
    <w:p w14:paraId="3FCD073A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Il est donc possible de mentir si cela ne nuit pas à autrui. </w:t>
      </w:r>
    </w:p>
    <w:p w14:paraId="379B244C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 xml:space="preserve">13- Le mensonge est inhérent à l’usage humain du langage. </w:t>
      </w:r>
    </w:p>
    <w:p w14:paraId="55CC447C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14- Liens étroits entre vérité et mensonge</w:t>
      </w:r>
    </w:p>
    <w:p w14:paraId="186C30D3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Le mensonge n’est pas, toujours et simplement, l’envers de la vérité. </w:t>
      </w:r>
    </w:p>
    <w:p w14:paraId="0999D816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Un mensonge ne peut avoir de sens que sur un fond de vérité. </w:t>
      </w:r>
    </w:p>
    <w:p w14:paraId="6E0377C4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En psychanalyse : le mensonge dit une vérité concernant le sujet. </w:t>
      </w:r>
    </w:p>
    <w:p w14:paraId="161687C0" w14:textId="77777777" w:rsidR="006B4EA6" w:rsidRPr="009012AC" w:rsidRDefault="006B4EA6" w:rsidP="006B4EA6">
      <w:pPr>
        <w:pStyle w:val="Sansinterligne"/>
        <w:rPr>
          <w:b/>
          <w:bCs/>
          <w:sz w:val="22"/>
          <w:u w:val="single"/>
        </w:rPr>
      </w:pPr>
    </w:p>
    <w:p w14:paraId="796299CD" w14:textId="77777777" w:rsidR="006B4EA6" w:rsidRPr="009012AC" w:rsidRDefault="006B4EA6" w:rsidP="006B4EA6">
      <w:pPr>
        <w:pStyle w:val="Sansinterligne"/>
        <w:numPr>
          <w:ilvl w:val="0"/>
          <w:numId w:val="8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raisons légitimes de FC</w:t>
      </w:r>
    </w:p>
    <w:p w14:paraId="56B3517F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21- En politique, la nécessité de faire croire</w:t>
      </w:r>
    </w:p>
    <w:p w14:paraId="384A5113" w14:textId="77777777" w:rsidR="006B4EA6" w:rsidRPr="009012AC" w:rsidRDefault="006B4EA6" w:rsidP="006B4EA6">
      <w:pPr>
        <w:spacing w:after="0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211- Platon : le noble mensonge</w:t>
      </w:r>
    </w:p>
    <w:p w14:paraId="16151AE0" w14:textId="77777777" w:rsidR="006B4EA6" w:rsidRPr="009012AC" w:rsidRDefault="006B4EA6" w:rsidP="006B4EA6">
      <w:pPr>
        <w:spacing w:after="0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222- Liens politique / mensonge</w:t>
      </w:r>
    </w:p>
    <w:p w14:paraId="42B4B61A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223- Pourtant, l’action politique ne peut ignorer le souci de la vérité</w:t>
      </w:r>
    </w:p>
    <w:p w14:paraId="29BADC29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22- En société</w:t>
      </w:r>
    </w:p>
    <w:p w14:paraId="009CED23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221- Faire croire pour faire société</w:t>
      </w:r>
    </w:p>
    <w:p w14:paraId="1F41FBD5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222- Faire croire pour maintenir un socle commun de valeurs</w:t>
      </w:r>
    </w:p>
    <w:p w14:paraId="4166E2FC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</w:p>
    <w:p w14:paraId="231EC344" w14:textId="77777777" w:rsidR="006B4EA6" w:rsidRPr="009012AC" w:rsidRDefault="006B4EA6" w:rsidP="006B4EA6">
      <w:pPr>
        <w:pStyle w:val="Sansinterligne"/>
        <w:numPr>
          <w:ilvl w:val="0"/>
          <w:numId w:val="7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Faire croire pour dire le vrai / pour agir</w:t>
      </w:r>
    </w:p>
    <w:p w14:paraId="6E35BE19" w14:textId="77777777" w:rsidR="006B4EA6" w:rsidRPr="009012AC" w:rsidRDefault="006B4EA6" w:rsidP="006B4EA6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Faire croire : l’enjeu de l’art et de la littérature</w:t>
      </w:r>
    </w:p>
    <w:p w14:paraId="1ECAC057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 xml:space="preserve">311- Au théâtre : </w:t>
      </w:r>
    </w:p>
    <w:p w14:paraId="63419BCD" w14:textId="77777777" w:rsidR="006B4EA6" w:rsidRPr="009012AC" w:rsidRDefault="006B4EA6" w:rsidP="006B4EA6">
      <w:pPr>
        <w:pStyle w:val="Sansinterligne"/>
        <w:ind w:firstLine="708"/>
        <w:rPr>
          <w:color w:val="FF0000"/>
          <w:sz w:val="22"/>
        </w:rPr>
      </w:pPr>
      <w:r w:rsidRPr="009012AC">
        <w:rPr>
          <w:sz w:val="22"/>
        </w:rPr>
        <w:t xml:space="preserve">312- Le réalisme  </w:t>
      </w:r>
    </w:p>
    <w:p w14:paraId="6702EB46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313- Puissance créatrice de la fiction</w:t>
      </w:r>
    </w:p>
    <w:p w14:paraId="7608DA88" w14:textId="77777777" w:rsidR="006B4EA6" w:rsidRPr="009012AC" w:rsidRDefault="006B4EA6" w:rsidP="006B4EA6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Faire croire pour agir</w:t>
      </w:r>
    </w:p>
    <w:p w14:paraId="4CB48825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321- Faire croire pour révéler l’ê à lui-même</w:t>
      </w:r>
    </w:p>
    <w:p w14:paraId="44D7CD48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322- Faire croire pour transformer le réel.</w:t>
      </w:r>
    </w:p>
    <w:bookmarkEnd w:id="0"/>
    <w:p w14:paraId="1ED04242" w14:textId="70156D42" w:rsidR="000043C5" w:rsidRPr="00014984" w:rsidRDefault="000043C5" w:rsidP="00DB3182">
      <w:pPr>
        <w:pStyle w:val="Sansinterligne"/>
        <w:rPr>
          <w:szCs w:val="24"/>
        </w:rPr>
      </w:pPr>
    </w:p>
    <w:sectPr w:rsidR="000043C5" w:rsidRPr="00014984" w:rsidSect="009012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7F"/>
    <w:multiLevelType w:val="hybridMultilevel"/>
    <w:tmpl w:val="899466A0"/>
    <w:lvl w:ilvl="0" w:tplc="D152D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94A"/>
    <w:multiLevelType w:val="hybridMultilevel"/>
    <w:tmpl w:val="0922C1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5FE"/>
    <w:multiLevelType w:val="hybridMultilevel"/>
    <w:tmpl w:val="D8FE311C"/>
    <w:lvl w:ilvl="0" w:tplc="B036BE4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04A"/>
    <w:multiLevelType w:val="hybridMultilevel"/>
    <w:tmpl w:val="5DD2BA9C"/>
    <w:lvl w:ilvl="0" w:tplc="AB72D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30D2"/>
    <w:multiLevelType w:val="hybridMultilevel"/>
    <w:tmpl w:val="9EC699A4"/>
    <w:lvl w:ilvl="0" w:tplc="D924B238">
      <w:start w:val="33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0C16"/>
    <w:multiLevelType w:val="hybridMultilevel"/>
    <w:tmpl w:val="6B42387E"/>
    <w:lvl w:ilvl="0" w:tplc="B036B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109"/>
    <w:multiLevelType w:val="hybridMultilevel"/>
    <w:tmpl w:val="57A6DAC4"/>
    <w:lvl w:ilvl="0" w:tplc="4C56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7D9C"/>
    <w:multiLevelType w:val="hybridMultilevel"/>
    <w:tmpl w:val="143CADF4"/>
    <w:lvl w:ilvl="0" w:tplc="AB72D098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41E7"/>
    <w:multiLevelType w:val="hybridMultilevel"/>
    <w:tmpl w:val="427E6A60"/>
    <w:lvl w:ilvl="0" w:tplc="2A6CBE98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3848">
    <w:abstractNumId w:val="6"/>
  </w:num>
  <w:num w:numId="2" w16cid:durableId="1975403132">
    <w:abstractNumId w:val="0"/>
  </w:num>
  <w:num w:numId="3" w16cid:durableId="271865917">
    <w:abstractNumId w:val="1"/>
  </w:num>
  <w:num w:numId="4" w16cid:durableId="565649013">
    <w:abstractNumId w:val="3"/>
  </w:num>
  <w:num w:numId="5" w16cid:durableId="102964062">
    <w:abstractNumId w:val="7"/>
  </w:num>
  <w:num w:numId="6" w16cid:durableId="492918950">
    <w:abstractNumId w:val="8"/>
  </w:num>
  <w:num w:numId="7" w16cid:durableId="276177333">
    <w:abstractNumId w:val="2"/>
  </w:num>
  <w:num w:numId="8" w16cid:durableId="1109814707">
    <w:abstractNumId w:val="5"/>
  </w:num>
  <w:num w:numId="9" w16cid:durableId="34421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A"/>
    <w:rsid w:val="000043C5"/>
    <w:rsid w:val="00014984"/>
    <w:rsid w:val="000D4465"/>
    <w:rsid w:val="000E5B97"/>
    <w:rsid w:val="001B0434"/>
    <w:rsid w:val="001C0879"/>
    <w:rsid w:val="001E2067"/>
    <w:rsid w:val="001E2148"/>
    <w:rsid w:val="001F6696"/>
    <w:rsid w:val="00230B1C"/>
    <w:rsid w:val="0027049B"/>
    <w:rsid w:val="002B2982"/>
    <w:rsid w:val="002C5199"/>
    <w:rsid w:val="002F13D8"/>
    <w:rsid w:val="00342B71"/>
    <w:rsid w:val="00375DC8"/>
    <w:rsid w:val="003A0F38"/>
    <w:rsid w:val="003B324A"/>
    <w:rsid w:val="00460C9B"/>
    <w:rsid w:val="00497309"/>
    <w:rsid w:val="005135C3"/>
    <w:rsid w:val="0052151A"/>
    <w:rsid w:val="005F0659"/>
    <w:rsid w:val="006B4EA6"/>
    <w:rsid w:val="006C4372"/>
    <w:rsid w:val="007127D0"/>
    <w:rsid w:val="00767E95"/>
    <w:rsid w:val="007938A0"/>
    <w:rsid w:val="009012AC"/>
    <w:rsid w:val="00902364"/>
    <w:rsid w:val="0094532D"/>
    <w:rsid w:val="0098187F"/>
    <w:rsid w:val="009A5DA5"/>
    <w:rsid w:val="00A15FA2"/>
    <w:rsid w:val="00BB510A"/>
    <w:rsid w:val="00BE2D96"/>
    <w:rsid w:val="00C03E85"/>
    <w:rsid w:val="00CF50A2"/>
    <w:rsid w:val="00D23AAD"/>
    <w:rsid w:val="00D46BC9"/>
    <w:rsid w:val="00D75090"/>
    <w:rsid w:val="00DB3182"/>
    <w:rsid w:val="00DD04C8"/>
    <w:rsid w:val="00EF664A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0793"/>
  <w15:chartTrackingRefBased/>
  <w15:docId w15:val="{6D1AEDD5-F8EE-4B05-BD8E-04EF837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A6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character" w:customStyle="1" w:styleId="markedcontent">
    <w:name w:val="markedcontent"/>
    <w:basedOn w:val="Policepardfaut"/>
    <w:rsid w:val="005135C3"/>
  </w:style>
  <w:style w:type="character" w:styleId="Lienhypertexte">
    <w:name w:val="Hyperlink"/>
    <w:basedOn w:val="Policepardfaut"/>
    <w:uiPriority w:val="99"/>
    <w:unhideWhenUsed/>
    <w:rsid w:val="005135C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1498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4532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3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nguist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oman_Jakob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sTtC2ApAg" TargetMode="External"/><Relationship Id="rId5" Type="http://schemas.openxmlformats.org/officeDocument/2006/relationships/hyperlink" Target="https://www.facebook.com/allocine/videos/sc%C3%A8ne-culte-matrix/325992114663503/?locale=fr_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13</cp:revision>
  <dcterms:created xsi:type="dcterms:W3CDTF">2023-06-10T12:53:00Z</dcterms:created>
  <dcterms:modified xsi:type="dcterms:W3CDTF">2023-09-22T06:28:00Z</dcterms:modified>
</cp:coreProperties>
</file>