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4C06" w14:textId="42B988BB" w:rsidR="001279C7" w:rsidRPr="00A91BDF" w:rsidRDefault="00450B6F">
      <w:pPr>
        <w:rPr>
          <w:b/>
          <w:bCs/>
        </w:rPr>
      </w:pPr>
      <w:r>
        <w:rPr>
          <w:b/>
          <w:bCs/>
        </w:rPr>
        <w:t>CONCOURS</w:t>
      </w:r>
      <w:r w:rsidR="008E1960" w:rsidRPr="00A91BDF">
        <w:rPr>
          <w:b/>
          <w:bCs/>
        </w:rPr>
        <w:t xml:space="preserve"> </w:t>
      </w:r>
      <w:r w:rsidR="00B24A83" w:rsidRPr="00092B0A">
        <w:rPr>
          <w:b/>
          <w:bCs/>
        </w:rPr>
        <w:t>AGRO-VETO</w:t>
      </w:r>
      <w:r w:rsidR="00B24A83">
        <w:rPr>
          <w:b/>
          <w:bCs/>
        </w:rPr>
        <w:t xml:space="preserve"> </w:t>
      </w:r>
      <w:r w:rsidR="008E1960" w:rsidRPr="00A91BDF">
        <w:rPr>
          <w:b/>
          <w:bCs/>
        </w:rPr>
        <w:t>20</w:t>
      </w:r>
      <w:r w:rsidR="00F8083D">
        <w:rPr>
          <w:b/>
          <w:bCs/>
        </w:rPr>
        <w:t>25</w:t>
      </w:r>
      <w:r w:rsidR="00C31582" w:rsidRPr="00A91BDF">
        <w:rPr>
          <w:b/>
          <w:bCs/>
        </w:rPr>
        <w:t>, analyse de documents – Retour sur épreuve</w:t>
      </w:r>
    </w:p>
    <w:p w14:paraId="117CB915" w14:textId="77777777" w:rsidR="00F8083D" w:rsidRDefault="00F8083D" w:rsidP="00666DF4">
      <w:pPr>
        <w:ind w:left="567"/>
        <w:rPr>
          <w:rFonts w:eastAsiaTheme="majorEastAsia" w:cstheme="minorHAnsi"/>
          <w:b/>
          <w:bCs/>
          <w:color w:val="404040" w:themeColor="text1" w:themeTint="BF"/>
          <w:kern w:val="28"/>
          <w:sz w:val="24"/>
          <w:szCs w:val="28"/>
          <w14:ligatures w14:val="historicalDiscretional"/>
        </w:rPr>
      </w:pPr>
      <w:r w:rsidRPr="00F8083D">
        <w:rPr>
          <w:rFonts w:eastAsiaTheme="majorEastAsia" w:cstheme="minorHAnsi"/>
          <w:b/>
          <w:bCs/>
          <w:color w:val="404040" w:themeColor="text1" w:themeTint="BF"/>
          <w:kern w:val="28"/>
          <w:sz w:val="24"/>
          <w:szCs w:val="28"/>
          <w14:ligatures w14:val="historicalDiscretional"/>
        </w:rPr>
        <w:t>Géologie dans quelques îles : Guernesey, Jersey, Groix, Oléron</w:t>
      </w:r>
    </w:p>
    <w:p w14:paraId="476DB8C2" w14:textId="020CB574" w:rsidR="00666DF4" w:rsidRPr="00A91BDF" w:rsidRDefault="0059607E" w:rsidP="00666DF4">
      <w:pPr>
        <w:ind w:left="567"/>
      </w:pPr>
      <w:r w:rsidRPr="00A91BDF">
        <w:t xml:space="preserve">Le sujet comporte </w:t>
      </w:r>
      <w:r w:rsidR="00F8083D">
        <w:rPr>
          <w:b/>
          <w:bCs/>
        </w:rPr>
        <w:t>3 t</w:t>
      </w:r>
      <w:r w:rsidRPr="00A91BDF">
        <w:rPr>
          <w:b/>
          <w:bCs/>
        </w:rPr>
        <w:t>hèmes indépendants</w:t>
      </w:r>
      <w:r w:rsidRPr="00A91BDF">
        <w:t>.</w:t>
      </w:r>
    </w:p>
    <w:p w14:paraId="1141FEA0" w14:textId="075582A1" w:rsidR="00666DF4" w:rsidRPr="00A91BDF" w:rsidRDefault="00666DF4"/>
    <w:p w14:paraId="3646E0F4" w14:textId="3190C576" w:rsidR="00857F5A" w:rsidRPr="00A91BDF" w:rsidRDefault="00697A1E" w:rsidP="00996269">
      <w:pPr>
        <w:pStyle w:val="-commentaire"/>
      </w:pPr>
      <w:r w:rsidRPr="00A91BDF">
        <w:rPr>
          <w:b/>
          <w:bCs/>
        </w:rPr>
        <w:t>Synthèse</w:t>
      </w:r>
      <w:r w:rsidR="00300EEF">
        <w:rPr>
          <w:b/>
          <w:bCs/>
        </w:rPr>
        <w:t xml:space="preserve"> à destination de l’expert</w:t>
      </w:r>
      <w:r w:rsidRPr="00A91BDF">
        <w:t> :</w:t>
      </w:r>
      <w:r w:rsidR="00345D0B">
        <w:t xml:space="preserve"> </w:t>
      </w:r>
      <w:r w:rsidR="00F16E56">
        <w:t>Nombreuses questions de cours qui valideront les géosciences vis-à-vis des candidats futurs.</w:t>
      </w:r>
      <w:r w:rsidR="00092B0A">
        <w:t xml:space="preserve"> Les photographies proposées ne sont pas toujours satisfaisantes → Roche Rb, document 11. Une progression un peu en dents de scie d’un point de vue difficulté, demandant des connaissances bien maîtrisées et du recul (Q5 </w:t>
      </w:r>
      <w:r w:rsidR="00EF6812">
        <w:t>C</w:t>
      </w:r>
      <w:r w:rsidR="00092B0A">
        <w:t>oncordia-</w:t>
      </w:r>
      <w:r w:rsidR="00EF6812">
        <w:t>D</w:t>
      </w:r>
      <w:r w:rsidR="00092B0A">
        <w:t>iscordia, Q11 et disharmonie, Q7c et modèle utilisé)</w:t>
      </w:r>
      <w:r w:rsidR="008C046E">
        <w:t>. Assurément discriminantes</w:t>
      </w:r>
      <w:r w:rsidR="00EF6812">
        <w:t>.</w:t>
      </w:r>
    </w:p>
    <w:p w14:paraId="54A9F187" w14:textId="77777777" w:rsidR="00697A1E" w:rsidRPr="00A91BDF" w:rsidRDefault="00697A1E"/>
    <w:p w14:paraId="45E06762" w14:textId="4E85BF19" w:rsidR="0059607E" w:rsidRDefault="0059607E" w:rsidP="0059607E">
      <w:pPr>
        <w:pStyle w:val="Titre1"/>
      </w:pPr>
      <w:r w:rsidRPr="00A91BDF">
        <w:t xml:space="preserve">Thème 1 — </w:t>
      </w:r>
      <w:r w:rsidR="00F8083D" w:rsidRPr="00F8083D">
        <w:t>Cartes, roches, datations (Guernesey, Jersey, Oléron)</w:t>
      </w:r>
    </w:p>
    <w:p w14:paraId="0E94B1C9" w14:textId="78A0A109" w:rsidR="0059607E" w:rsidRDefault="0059607E" w:rsidP="009C0999">
      <w:pPr>
        <w:pStyle w:val="-question"/>
      </w:pPr>
    </w:p>
    <w:p w14:paraId="4EC187E7" w14:textId="07DAD08B" w:rsidR="00F8083D" w:rsidRDefault="00F8083D" w:rsidP="00F8083D">
      <w:r>
        <w:t>Répertorier un maximum d’informations, extraites du document 1 et de sa légende (pages 2 et 3), relatives aux trois zones A1, A2 et A3, permettant de les décrire et les dater.</w:t>
      </w:r>
    </w:p>
    <w:p w14:paraId="78650A7D" w14:textId="69F29234" w:rsidR="00F8083D" w:rsidRDefault="00207D41" w:rsidP="000A4C70">
      <w:pPr>
        <w:pStyle w:val="-rponse"/>
      </w:pPr>
      <w:r>
        <w:t xml:space="preserve">La roche A1 date de 2 milliards d’années. C’est un </w:t>
      </w:r>
      <w:r w:rsidR="00EF6812">
        <w:t>orthogneiss (notice [1] en bas)</w:t>
      </w:r>
      <w:r>
        <w:t>.</w:t>
      </w:r>
    </w:p>
    <w:p w14:paraId="10C59773" w14:textId="69B111EA" w:rsidR="00207D41" w:rsidRDefault="00207D41" w:rsidP="000A4C70">
      <w:pPr>
        <w:pStyle w:val="-rponse"/>
      </w:pPr>
      <w:r>
        <w:t>La roche A2 date de -520 millions d’années. C’est une</w:t>
      </w:r>
      <w:r w:rsidR="00EF6812">
        <w:t xml:space="preserve"> granitoïde </w:t>
      </w:r>
      <w:r w:rsidR="00EF6812">
        <w:t>(notice [</w:t>
      </w:r>
      <w:r w:rsidR="00EF6812">
        <w:t>5</w:t>
      </w:r>
      <w:r w:rsidR="00EF6812">
        <w:t xml:space="preserve">] </w:t>
      </w:r>
      <w:r w:rsidR="00EF6812">
        <w:t>et ++ à gauche</w:t>
      </w:r>
      <w:r w:rsidR="00EF6812">
        <w:t>)</w:t>
      </w:r>
      <w:r>
        <w:t>.</w:t>
      </w:r>
    </w:p>
    <w:p w14:paraId="7E163460" w14:textId="4CC79E32" w:rsidR="00207D41" w:rsidRDefault="00207D41" w:rsidP="000A4C70">
      <w:pPr>
        <w:pStyle w:val="-rponse"/>
      </w:pPr>
      <w:r>
        <w:t>La roche A3 date de -14 millions d’années. C’est une roche sédimentaire du Jurassique supérieur.</w:t>
      </w:r>
    </w:p>
    <w:p w14:paraId="10218E02" w14:textId="10BEABBA" w:rsidR="00D56E61" w:rsidRPr="00D56E61" w:rsidRDefault="00D56E61" w:rsidP="00D56E61">
      <w:pPr>
        <w:pStyle w:val="-commentaire"/>
      </w:pPr>
      <w:r w:rsidRPr="00D56E61">
        <w:rPr>
          <w:b/>
          <w:bCs/>
          <w:u w:val="single" w:color="C00000"/>
        </w:rPr>
        <w:t>Commentaire</w:t>
      </w:r>
      <w:r>
        <w:t xml:space="preserve"> : </w:t>
      </w:r>
      <w:r w:rsidR="008C046E">
        <w:t xml:space="preserve">Le </w:t>
      </w:r>
      <w:r>
        <w:t xml:space="preserve">terme </w:t>
      </w:r>
      <w:r w:rsidR="008C046E">
        <w:t>« </w:t>
      </w:r>
      <w:r>
        <w:t>maximum</w:t>
      </w:r>
      <w:r w:rsidR="008C046E">
        <w:t> » amène à perdre du temps</w:t>
      </w:r>
      <w:r>
        <w:t>.</w:t>
      </w:r>
    </w:p>
    <w:p w14:paraId="3F35B807" w14:textId="77777777" w:rsidR="00F8083D" w:rsidRDefault="00F8083D" w:rsidP="00F8083D">
      <w:pPr>
        <w:pStyle w:val="-question"/>
      </w:pPr>
    </w:p>
    <w:p w14:paraId="561B0015" w14:textId="77777777" w:rsidR="00F8083D" w:rsidRDefault="00F8083D" w:rsidP="00F8083D">
      <w:r>
        <w:t>À partir des données du document 2,</w:t>
      </w:r>
    </w:p>
    <w:p w14:paraId="5C82332A" w14:textId="5DDB05D1" w:rsidR="00F8083D" w:rsidRDefault="00F8083D" w:rsidP="00F8083D">
      <w:r>
        <w:t>- Proposer un nom possible pour la roche Ra, ainsi que pour le fossile qu’elle a livré. Préciser ce que la présence de ce fossile permet de déduire.</w:t>
      </w:r>
    </w:p>
    <w:p w14:paraId="72203B80" w14:textId="3E3E8577" w:rsidR="00207D41" w:rsidRDefault="00111D22" w:rsidP="00111D22">
      <w:pPr>
        <w:pStyle w:val="-rponse"/>
      </w:pPr>
      <w:r w:rsidRPr="00A7412E">
        <w:rPr>
          <w:u w:val="single" w:color="C00000"/>
        </w:rPr>
        <w:t>Roche Ra : calcaire à Ammonite</w:t>
      </w:r>
      <w:r>
        <w:t>. Zone marine ouverte.</w:t>
      </w:r>
    </w:p>
    <w:p w14:paraId="09F1CB7F" w14:textId="77777777" w:rsidR="00F8083D" w:rsidRDefault="00F8083D" w:rsidP="00F8083D">
      <w:r>
        <w:t>- Proposer un nom possible pour la roche Rb, en justifiant.</w:t>
      </w:r>
    </w:p>
    <w:p w14:paraId="71F8BB51" w14:textId="1DC0BE8D" w:rsidR="00111D22" w:rsidRDefault="00723F57" w:rsidP="00111D22">
      <w:pPr>
        <w:pStyle w:val="-rponse"/>
      </w:pPr>
      <w:r w:rsidRPr="00A7412E">
        <w:rPr>
          <w:u w:val="single" w:color="C00000"/>
        </w:rPr>
        <w:t>R</w:t>
      </w:r>
      <w:r w:rsidR="00111D22" w:rsidRPr="00A7412E">
        <w:rPr>
          <w:u w:val="single" w:color="C00000"/>
        </w:rPr>
        <w:t>oche Rb</w:t>
      </w:r>
      <w:r>
        <w:t xml:space="preserve"> : minéraux formant des lits clairs et sombres, d’épaisseur supérieur au millimètre, plissée : </w:t>
      </w:r>
      <w:r w:rsidR="00111D22" w:rsidRPr="00A7412E">
        <w:rPr>
          <w:u w:val="single" w:color="C00000"/>
        </w:rPr>
        <w:t>gneiss</w:t>
      </w:r>
      <w:r w:rsidR="00111D22">
        <w:t>.</w:t>
      </w:r>
    </w:p>
    <w:p w14:paraId="1D7809A8" w14:textId="686867BB" w:rsidR="00D16D1F" w:rsidRDefault="00D16D1F" w:rsidP="00D16D1F">
      <w:pPr>
        <w:pStyle w:val="-commentaire"/>
      </w:pPr>
      <w:r w:rsidRPr="00D16D1F">
        <w:rPr>
          <w:b/>
          <w:bCs/>
          <w:u w:val="single" w:color="C00000"/>
        </w:rPr>
        <w:t>Commentaire</w:t>
      </w:r>
      <w:r>
        <w:t> : La détermination est un peu de la devinette.</w:t>
      </w:r>
    </w:p>
    <w:p w14:paraId="718971B0" w14:textId="2A535971" w:rsidR="00F8083D" w:rsidRDefault="00F8083D" w:rsidP="00F8083D">
      <w:r>
        <w:t xml:space="preserve">- Nommer la roche </w:t>
      </w:r>
      <w:proofErr w:type="spellStart"/>
      <w:r>
        <w:t>Rc</w:t>
      </w:r>
      <w:proofErr w:type="spellEnd"/>
      <w:r>
        <w:t>, ainsi que les minéraux 1, 2 et 3 qu’elle contient, en justifiant (un zoom des minéraux est présent dans l’annexe A3).</w:t>
      </w:r>
    </w:p>
    <w:p w14:paraId="1D178DD8" w14:textId="486D5D79" w:rsidR="00207D41" w:rsidRDefault="00111D22" w:rsidP="00111D22">
      <w:pPr>
        <w:pStyle w:val="-rponse"/>
      </w:pPr>
      <w:proofErr w:type="spellStart"/>
      <w:r w:rsidRPr="00A7412E">
        <w:rPr>
          <w:u w:val="single" w:color="C00000"/>
        </w:rPr>
        <w:t>Rc</w:t>
      </w:r>
      <w:proofErr w:type="spellEnd"/>
      <w:r w:rsidRPr="00A7412E">
        <w:rPr>
          <w:u w:val="single" w:color="C00000"/>
        </w:rPr>
        <w:t> : granite</w:t>
      </w:r>
      <w:r>
        <w:t xml:space="preserve"> avec 1 = quartz, 2 = mica noir, 3 = feldspath</w:t>
      </w:r>
    </w:p>
    <w:p w14:paraId="0F493EAF" w14:textId="40DB650C" w:rsidR="00F8083D" w:rsidRDefault="00F8083D" w:rsidP="00F8083D">
      <w:r>
        <w:t xml:space="preserve">- Associer chacune des trois roches (Ra, Rb et </w:t>
      </w:r>
      <w:proofErr w:type="spellStart"/>
      <w:r>
        <w:t>Rc</w:t>
      </w:r>
      <w:proofErr w:type="spellEnd"/>
      <w:r>
        <w:t>) à sa zone (A1, A2 et A3).</w:t>
      </w:r>
    </w:p>
    <w:p w14:paraId="1723CED1" w14:textId="71FBCA5A" w:rsidR="00F8083D" w:rsidRDefault="00111D22" w:rsidP="000A4C70">
      <w:pPr>
        <w:pStyle w:val="-rponse"/>
      </w:pPr>
      <w:r>
        <w:t>Roche A1 = Rb</w:t>
      </w:r>
      <w:r>
        <w:tab/>
      </w:r>
      <w:r>
        <w:tab/>
        <w:t xml:space="preserve">Roche A2 = </w:t>
      </w:r>
      <w:proofErr w:type="spellStart"/>
      <w:r>
        <w:t>Rc</w:t>
      </w:r>
      <w:proofErr w:type="spellEnd"/>
      <w:r>
        <w:tab/>
        <w:t>Roche A3 = Ra</w:t>
      </w:r>
    </w:p>
    <w:p w14:paraId="094722FD" w14:textId="77777777" w:rsidR="00F8083D" w:rsidRDefault="00F8083D" w:rsidP="00F8083D">
      <w:pPr>
        <w:pStyle w:val="-question"/>
      </w:pPr>
    </w:p>
    <w:p w14:paraId="2ED3814E" w14:textId="4BC374AD" w:rsidR="00F8083D" w:rsidRDefault="00F8083D" w:rsidP="00F8083D">
      <w:r>
        <w:t>- Nommer la roche A.</w:t>
      </w:r>
    </w:p>
    <w:p w14:paraId="768F02D3" w14:textId="2B7DD9E1" w:rsidR="00111D22" w:rsidRDefault="00111D22" w:rsidP="00111D22">
      <w:pPr>
        <w:pStyle w:val="-rponse"/>
      </w:pPr>
      <w:r w:rsidRPr="00A7412E">
        <w:rPr>
          <w:u w:val="single" w:color="C00000"/>
        </w:rPr>
        <w:t>Diorite</w:t>
      </w:r>
      <w:r>
        <w:t>.</w:t>
      </w:r>
    </w:p>
    <w:p w14:paraId="2D8382D3" w14:textId="0DA46028" w:rsidR="00F8083D" w:rsidRDefault="00F8083D" w:rsidP="00F8083D">
      <w:r>
        <w:t>- Positionner la roche B dans le document 4 présenté dans l’annexe, en expliquant la démarche suivie. Nommer la roche B ainsi que le minéral M.</w:t>
      </w:r>
    </w:p>
    <w:p w14:paraId="0F474A80" w14:textId="0A0572B0" w:rsidR="00A42C55" w:rsidRDefault="00A42C55" w:rsidP="000A4C70">
      <w:pPr>
        <w:pStyle w:val="-rponse"/>
      </w:pPr>
      <w:r>
        <w:t>Les 3 minéraux utiles pour la détermination graphique sont Quartz, Feldspath plagioclase, Feldspaths alcalins. A eux 3, ils ne représentent que 10+54+2 = 66% de la roche.</w:t>
      </w:r>
    </w:p>
    <w:p w14:paraId="35B986E1" w14:textId="7095E3FE" w:rsidR="00A42C55" w:rsidRDefault="00A42C55" w:rsidP="000A4C70">
      <w:pPr>
        <w:pStyle w:val="-rponse"/>
      </w:pPr>
      <w:r>
        <w:t>Il faut donc normaliser la roche pour que la somme de ces 3 proportions fasse 100%</w:t>
      </w:r>
      <w:r w:rsidR="00723F57">
        <w:t>, soit un facteur multiplicatif de 100/66 = 1/0,66 = 3/2.</w:t>
      </w:r>
    </w:p>
    <w:tbl>
      <w:tblPr>
        <w:tblStyle w:val="Grilledutableau"/>
        <w:tblW w:w="8788" w:type="dxa"/>
        <w:tblInd w:w="534" w:type="dxa"/>
        <w:tblLook w:val="04A0" w:firstRow="1" w:lastRow="0" w:firstColumn="1" w:lastColumn="0" w:noHBand="0" w:noVBand="1"/>
      </w:tblPr>
      <w:tblGrid>
        <w:gridCol w:w="1871"/>
        <w:gridCol w:w="2869"/>
        <w:gridCol w:w="2520"/>
        <w:gridCol w:w="1528"/>
      </w:tblGrid>
      <w:tr w:rsidR="00A42C55" w14:paraId="478DAA87" w14:textId="77777777" w:rsidTr="004F673E">
        <w:tc>
          <w:tcPr>
            <w:tcW w:w="1871" w:type="dxa"/>
            <w:vAlign w:val="center"/>
          </w:tcPr>
          <w:p w14:paraId="26D2CE78" w14:textId="69D012A0" w:rsidR="00A42C55" w:rsidRDefault="00A42C55" w:rsidP="004F673E">
            <w:pPr>
              <w:pStyle w:val="-rponse"/>
              <w:jc w:val="center"/>
            </w:pPr>
            <w:r>
              <w:t>Quartz</w:t>
            </w:r>
            <w:r w:rsidR="00723F57">
              <w:t xml:space="preserve"> (%)</w:t>
            </w:r>
          </w:p>
        </w:tc>
        <w:tc>
          <w:tcPr>
            <w:tcW w:w="2869" w:type="dxa"/>
            <w:vAlign w:val="center"/>
          </w:tcPr>
          <w:p w14:paraId="0047A54B" w14:textId="0660E7E0" w:rsidR="00A42C55" w:rsidRDefault="00A42C55" w:rsidP="004F673E">
            <w:pPr>
              <w:pStyle w:val="-rponse"/>
              <w:jc w:val="center"/>
            </w:pPr>
            <w:r>
              <w:t>Feldspath plagioclase</w:t>
            </w:r>
            <w:r w:rsidR="00723F57">
              <w:t xml:space="preserve"> (%)</w:t>
            </w:r>
          </w:p>
        </w:tc>
        <w:tc>
          <w:tcPr>
            <w:tcW w:w="2520" w:type="dxa"/>
            <w:vAlign w:val="center"/>
          </w:tcPr>
          <w:p w14:paraId="579CDD9A" w14:textId="4EAC316C" w:rsidR="00A42C55" w:rsidRDefault="00A42C55" w:rsidP="004F673E">
            <w:pPr>
              <w:pStyle w:val="-rponse"/>
              <w:jc w:val="center"/>
            </w:pPr>
            <w:r>
              <w:t>Feldspaths alcalins</w:t>
            </w:r>
            <w:r w:rsidR="00723F57">
              <w:t xml:space="preserve"> (%)</w:t>
            </w:r>
          </w:p>
        </w:tc>
        <w:tc>
          <w:tcPr>
            <w:tcW w:w="1528" w:type="dxa"/>
            <w:vAlign w:val="center"/>
          </w:tcPr>
          <w:p w14:paraId="37EE2EFE" w14:textId="58647162" w:rsidR="00A42C55" w:rsidRPr="00A42C55" w:rsidRDefault="00A42C55" w:rsidP="004F673E">
            <w:pPr>
              <w:pStyle w:val="-rponse"/>
              <w:jc w:val="center"/>
              <w:rPr>
                <w:b/>
                <w:bCs/>
              </w:rPr>
            </w:pPr>
            <w:r w:rsidRPr="00A42C55">
              <w:rPr>
                <w:b/>
                <w:bCs/>
              </w:rPr>
              <w:t>Total</w:t>
            </w:r>
            <w:r w:rsidR="00723F57">
              <w:t xml:space="preserve"> (%)</w:t>
            </w:r>
          </w:p>
        </w:tc>
      </w:tr>
      <w:tr w:rsidR="00A42C55" w14:paraId="1D4DAFCC" w14:textId="77777777" w:rsidTr="004F673E">
        <w:tc>
          <w:tcPr>
            <w:tcW w:w="1871" w:type="dxa"/>
            <w:vAlign w:val="center"/>
          </w:tcPr>
          <w:p w14:paraId="20D3D83C" w14:textId="0C2D27CC" w:rsidR="00A42C55" w:rsidRDefault="00A42C55" w:rsidP="004F673E">
            <w:pPr>
              <w:pStyle w:val="-rponse"/>
              <w:jc w:val="center"/>
            </w:pPr>
            <w:r>
              <w:t>10</w:t>
            </w:r>
          </w:p>
        </w:tc>
        <w:tc>
          <w:tcPr>
            <w:tcW w:w="2869" w:type="dxa"/>
            <w:vAlign w:val="center"/>
          </w:tcPr>
          <w:p w14:paraId="7A1B2B71" w14:textId="5D400466" w:rsidR="00A42C55" w:rsidRDefault="00A42C55" w:rsidP="004F673E">
            <w:pPr>
              <w:pStyle w:val="-rponse"/>
              <w:jc w:val="center"/>
            </w:pPr>
            <w:r>
              <w:t>54</w:t>
            </w:r>
          </w:p>
        </w:tc>
        <w:tc>
          <w:tcPr>
            <w:tcW w:w="2520" w:type="dxa"/>
            <w:vAlign w:val="center"/>
          </w:tcPr>
          <w:p w14:paraId="7F5E9059" w14:textId="3B5C78FA" w:rsidR="00A42C55" w:rsidRDefault="00A42C55" w:rsidP="004F673E">
            <w:pPr>
              <w:pStyle w:val="-rponse"/>
              <w:jc w:val="center"/>
            </w:pPr>
            <w:r>
              <w:t>2</w:t>
            </w:r>
          </w:p>
        </w:tc>
        <w:tc>
          <w:tcPr>
            <w:tcW w:w="1528" w:type="dxa"/>
            <w:vAlign w:val="center"/>
          </w:tcPr>
          <w:p w14:paraId="69D4A1BD" w14:textId="1C36CC7D" w:rsidR="00A42C55" w:rsidRDefault="00A42C55" w:rsidP="004F673E">
            <w:pPr>
              <w:pStyle w:val="-rponse"/>
              <w:jc w:val="center"/>
            </w:pPr>
            <w:r>
              <w:t>66</w:t>
            </w:r>
          </w:p>
        </w:tc>
      </w:tr>
      <w:tr w:rsidR="00A42C55" w14:paraId="7D49D4A4" w14:textId="77777777" w:rsidTr="004F673E">
        <w:tc>
          <w:tcPr>
            <w:tcW w:w="1871" w:type="dxa"/>
            <w:vAlign w:val="center"/>
          </w:tcPr>
          <w:p w14:paraId="485DDA4F" w14:textId="1A0724B0" w:rsidR="00A42C55" w:rsidRDefault="00A42C55" w:rsidP="004F673E">
            <w:pPr>
              <w:pStyle w:val="-rponse"/>
              <w:jc w:val="center"/>
            </w:pPr>
            <w:r>
              <w:t>10</w:t>
            </w:r>
            <w:r w:rsidR="00723F57">
              <w:t xml:space="preserve"> * 3/2</w:t>
            </w:r>
            <w:r>
              <w:t xml:space="preserve"> = </w:t>
            </w:r>
            <w:r w:rsidRPr="00A7412E">
              <w:rPr>
                <w:b/>
                <w:bCs/>
              </w:rPr>
              <w:t>15</w:t>
            </w:r>
          </w:p>
        </w:tc>
        <w:tc>
          <w:tcPr>
            <w:tcW w:w="2869" w:type="dxa"/>
            <w:vAlign w:val="center"/>
          </w:tcPr>
          <w:p w14:paraId="538CE130" w14:textId="7C2998C2" w:rsidR="00A42C55" w:rsidRDefault="00A42C55" w:rsidP="004F673E">
            <w:pPr>
              <w:pStyle w:val="-rponse"/>
              <w:jc w:val="center"/>
            </w:pPr>
            <w:r>
              <w:t>54</w:t>
            </w:r>
            <w:r w:rsidR="00723F57">
              <w:t xml:space="preserve"> * 3/2</w:t>
            </w:r>
            <w:r>
              <w:t xml:space="preserve"> = </w:t>
            </w:r>
            <w:r w:rsidRPr="00A7412E">
              <w:rPr>
                <w:b/>
                <w:bCs/>
              </w:rPr>
              <w:t>8</w:t>
            </w:r>
            <w:r w:rsidR="00723F57" w:rsidRPr="00A7412E">
              <w:rPr>
                <w:b/>
                <w:bCs/>
              </w:rPr>
              <w:t>1</w:t>
            </w:r>
          </w:p>
        </w:tc>
        <w:tc>
          <w:tcPr>
            <w:tcW w:w="2520" w:type="dxa"/>
            <w:vAlign w:val="center"/>
          </w:tcPr>
          <w:p w14:paraId="5EA7DC22" w14:textId="533518C9" w:rsidR="00A42C55" w:rsidRDefault="00A42C55" w:rsidP="004F673E">
            <w:pPr>
              <w:pStyle w:val="-rponse"/>
              <w:jc w:val="center"/>
            </w:pPr>
            <w:r>
              <w:t>2</w:t>
            </w:r>
            <w:r w:rsidR="00723F57">
              <w:t xml:space="preserve"> * 3/2</w:t>
            </w:r>
            <w:r>
              <w:t xml:space="preserve"> = </w:t>
            </w:r>
            <w:r w:rsidRPr="00A7412E">
              <w:rPr>
                <w:b/>
                <w:bCs/>
              </w:rPr>
              <w:t>3</w:t>
            </w:r>
          </w:p>
        </w:tc>
        <w:tc>
          <w:tcPr>
            <w:tcW w:w="1528" w:type="dxa"/>
            <w:vAlign w:val="center"/>
          </w:tcPr>
          <w:p w14:paraId="68B4DB31" w14:textId="4B9CC71A" w:rsidR="00A42C55" w:rsidRPr="00A7412E" w:rsidRDefault="00723F57" w:rsidP="004F673E">
            <w:pPr>
              <w:pStyle w:val="-rponse"/>
              <w:jc w:val="center"/>
              <w:rPr>
                <w:b/>
                <w:bCs/>
              </w:rPr>
            </w:pPr>
            <w:r w:rsidRPr="00A7412E">
              <w:rPr>
                <w:b/>
                <w:bCs/>
              </w:rPr>
              <w:t>99</w:t>
            </w:r>
          </w:p>
        </w:tc>
      </w:tr>
    </w:tbl>
    <w:p w14:paraId="50A56E57" w14:textId="7DCEB3B1" w:rsidR="006872E6" w:rsidRDefault="006872E6">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rPr>
          <w:rFonts w:asciiTheme="minorHAnsi" w:hAnsiTheme="minorHAnsi" w:cstheme="minorHAnsi"/>
          <w:color w:val="2F5496" w:themeColor="accent1" w:themeShade="BF"/>
          <w:sz w:val="24"/>
        </w:rPr>
      </w:pPr>
    </w:p>
    <w:p w14:paraId="4FA93384" w14:textId="2621F4F0" w:rsidR="00A42C55" w:rsidRDefault="006872E6" w:rsidP="006872E6">
      <w:pPr>
        <w:pStyle w:val="-rponse"/>
        <w:jc w:val="center"/>
      </w:pPr>
      <w:r>
        <w:rPr>
          <w:noProof/>
        </w:rPr>
        <w:drawing>
          <wp:inline distT="0" distB="0" distL="0" distR="0" wp14:anchorId="6051ADA5" wp14:editId="2FA6C2C9">
            <wp:extent cx="5928360" cy="2987040"/>
            <wp:effectExtent l="0" t="0" r="0" b="3810"/>
            <wp:docPr id="16639132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360" cy="2987040"/>
                    </a:xfrm>
                    <a:prstGeom prst="rect">
                      <a:avLst/>
                    </a:prstGeom>
                    <a:noFill/>
                    <a:ln>
                      <a:noFill/>
                    </a:ln>
                  </pic:spPr>
                </pic:pic>
              </a:graphicData>
            </a:graphic>
          </wp:inline>
        </w:drawing>
      </w:r>
    </w:p>
    <w:p w14:paraId="70648B53" w14:textId="77777777" w:rsidR="006872E6" w:rsidRDefault="006872E6" w:rsidP="006872E6">
      <w:pPr>
        <w:pStyle w:val="-rponse"/>
        <w:jc w:val="center"/>
      </w:pPr>
    </w:p>
    <w:p w14:paraId="539E0193" w14:textId="4727D0B4" w:rsidR="006872E6" w:rsidRDefault="006872E6" w:rsidP="000A4C70">
      <w:pPr>
        <w:pStyle w:val="-rponse"/>
      </w:pPr>
      <w:r w:rsidRPr="006872E6">
        <w:rPr>
          <w:u w:val="single"/>
        </w:rPr>
        <w:t>Titre</w:t>
      </w:r>
      <w:r>
        <w:t xml:space="preserve"> : </w:t>
      </w:r>
      <w:r w:rsidRPr="006872E6">
        <w:rPr>
          <w:u w:val="single" w:color="C00000"/>
        </w:rPr>
        <w:t>Détermination de la roche B par le diagramme de Streckeisen : diorite</w:t>
      </w:r>
    </w:p>
    <w:p w14:paraId="30C5A444" w14:textId="77777777" w:rsidR="006872E6" w:rsidRDefault="006872E6" w:rsidP="000A4C70">
      <w:pPr>
        <w:pStyle w:val="-rponse"/>
      </w:pPr>
    </w:p>
    <w:p w14:paraId="62CE7A6A" w14:textId="18946083" w:rsidR="00F8083D" w:rsidRDefault="00A42C55" w:rsidP="000A4C70">
      <w:pPr>
        <w:pStyle w:val="-rponse"/>
      </w:pPr>
      <w:r w:rsidRPr="006872E6">
        <w:rPr>
          <w:u w:val="single" w:color="C00000"/>
        </w:rPr>
        <w:t>Minéral M = amphibole</w:t>
      </w:r>
      <w:r>
        <w:t>.</w:t>
      </w:r>
    </w:p>
    <w:p w14:paraId="42ECFAA4" w14:textId="77777777" w:rsidR="00F8083D" w:rsidRDefault="00F8083D" w:rsidP="00F8083D">
      <w:pPr>
        <w:pStyle w:val="-question"/>
      </w:pPr>
    </w:p>
    <w:p w14:paraId="7C3E86E7" w14:textId="2A0DDB12" w:rsidR="00F8083D" w:rsidRDefault="00F8083D" w:rsidP="00F8083D">
      <w:r>
        <w:t>- À l’aide de ces informations, ainsi que des documents 1 et 3 et des connaissances utiles, proposer une hypothèse sur l’origine possible de la roche B, ainsi que les mécanismes impliqués dans sa formation. Une réponse argumentée est attendue (répondre en une demi-page maximum).</w:t>
      </w:r>
    </w:p>
    <w:p w14:paraId="3080FC52" w14:textId="125D6A09" w:rsidR="00D16D1F" w:rsidRDefault="00D16D1F" w:rsidP="00723F57">
      <w:pPr>
        <w:pStyle w:val="-rponse"/>
      </w:pPr>
      <w:r>
        <w:t xml:space="preserve">Une roche plutonique contient une autre roche </w:t>
      </w:r>
      <w:r w:rsidR="004D4A66">
        <w:t>plutonique = diorite (Q3)</w:t>
      </w:r>
      <w:r>
        <w:t xml:space="preserve"> et ce n’est pas un filon</w:t>
      </w:r>
      <w:r w:rsidR="004D4A66">
        <w:t> : c’est une enclave de B dans A</w:t>
      </w:r>
      <w:r>
        <w:t>.</w:t>
      </w:r>
    </w:p>
    <w:p w14:paraId="229A652E" w14:textId="2479574B" w:rsidR="00D16D1F" w:rsidRDefault="00D16D1F" w:rsidP="00723F57">
      <w:pPr>
        <w:pStyle w:val="-rponse"/>
      </w:pPr>
      <w:r>
        <w:t>La « frontière » entre les roches A et B semble</w:t>
      </w:r>
      <w:r w:rsidR="004D4A66">
        <w:t xml:space="preserve"> diffuse</w:t>
      </w:r>
      <w:r>
        <w:t>.</w:t>
      </w:r>
      <w:r w:rsidR="004D4A66">
        <w:t xml:space="preserve"> Confirmation que ce n’est pas un filon. Les roches A et B sont liées.</w:t>
      </w:r>
    </w:p>
    <w:p w14:paraId="1EEF6E71" w14:textId="2E999CCD" w:rsidR="00D16D1F" w:rsidRDefault="00D16D1F" w:rsidP="00723F57">
      <w:pPr>
        <w:pStyle w:val="-rponse"/>
      </w:pPr>
      <w:r>
        <w:t xml:space="preserve">On </w:t>
      </w:r>
      <w:r w:rsidR="004D4A66">
        <w:t xml:space="preserve">peut proposer une </w:t>
      </w:r>
      <w:r w:rsidR="004D4A66" w:rsidRPr="004D4A66">
        <w:rPr>
          <w:u w:val="single" w:color="C00000"/>
        </w:rPr>
        <w:t>fusion partielle de la roche A et recristallisation en roche B</w:t>
      </w:r>
      <w:r w:rsidR="004D4A66">
        <w:t>.</w:t>
      </w:r>
    </w:p>
    <w:p w14:paraId="6A8BED5E" w14:textId="05CA3B3A" w:rsidR="00F8083D" w:rsidRDefault="00F8083D" w:rsidP="00F8083D">
      <w:r>
        <w:t>- Proposer une ou plusieurs analyses à faire pour tester cette hypothèse (justifier).</w:t>
      </w:r>
    </w:p>
    <w:p w14:paraId="0DA5309D" w14:textId="3250E1B3" w:rsidR="00F8083D" w:rsidRDefault="004D4A66" w:rsidP="000A4C70">
      <w:pPr>
        <w:pStyle w:val="-rponse"/>
      </w:pPr>
      <w:r>
        <w:t>Analyses isotopiques (Sr/Nd) pour tenter une filiation.</w:t>
      </w:r>
    </w:p>
    <w:p w14:paraId="38544DF9" w14:textId="1FF445BA" w:rsidR="001C5744" w:rsidRDefault="001C5744" w:rsidP="001C5744">
      <w:pPr>
        <w:pStyle w:val="-commentaire"/>
      </w:pPr>
      <w:r w:rsidRPr="001C5744">
        <w:rPr>
          <w:b/>
          <w:bCs/>
          <w:u w:val="single" w:color="C00000"/>
        </w:rPr>
        <w:t>Commentaire</w:t>
      </w:r>
      <w:r>
        <w:t xml:space="preserve"> : </w:t>
      </w:r>
      <w:r w:rsidR="004D4A66">
        <w:t xml:space="preserve">La photo Zoom n’est pas assez zoomée pour être facilement analysée </w:t>
      </w:r>
      <w:r w:rsidR="004D4A66">
        <w:sym w:font="Wingdings" w:char="F0E0"/>
      </w:r>
      <w:r w:rsidR="004D4A66">
        <w:t xml:space="preserve"> bords diffus. </w:t>
      </w:r>
      <w:r>
        <w:t>Très curieux du taux de réussite à cette question.</w:t>
      </w:r>
    </w:p>
    <w:p w14:paraId="547264F7" w14:textId="77777777" w:rsidR="00F8083D" w:rsidRDefault="00F8083D" w:rsidP="00F8083D">
      <w:pPr>
        <w:pStyle w:val="-question"/>
      </w:pPr>
    </w:p>
    <w:p w14:paraId="434D61B5" w14:textId="537A0A09" w:rsidR="00F8083D" w:rsidRDefault="00F8083D" w:rsidP="00F8083D">
      <w:r>
        <w:t>Nommer cette courbe de référence et expliquer succinctement pourquoi elle est d’allure croissante.</w:t>
      </w:r>
    </w:p>
    <w:p w14:paraId="3F5EF27E" w14:textId="56BB291B" w:rsidR="00F8083D" w:rsidRDefault="001C5744" w:rsidP="000A4C70">
      <w:pPr>
        <w:pStyle w:val="-rponse"/>
      </w:pPr>
      <w:r>
        <w:t>Courbe Concordia.</w:t>
      </w:r>
    </w:p>
    <w:p w14:paraId="2FE1A8AF" w14:textId="6CEB122A" w:rsidR="001C5744" w:rsidRDefault="001C5744" w:rsidP="001C5744">
      <w:pPr>
        <w:pStyle w:val="-rponse"/>
      </w:pPr>
      <w:r>
        <w:t>Dans cette technique, l</w:t>
      </w:r>
      <w:r w:rsidRPr="001C5744">
        <w:t xml:space="preserve">a datation des </w:t>
      </w:r>
      <w:r>
        <w:t>roches</w:t>
      </w:r>
      <w:r w:rsidRPr="001C5744">
        <w:t xml:space="preserve"> se fait grâce à la désintégration des isotopes de l’uranium en plomb.</w:t>
      </w:r>
    </w:p>
    <w:p w14:paraId="0D346F61" w14:textId="1A9DB97D" w:rsidR="001C5744" w:rsidRDefault="001C5744" w:rsidP="001C5744">
      <w:pPr>
        <w:pStyle w:val="-rponse"/>
      </w:pPr>
      <w:r>
        <w:t>L’Uranium 238 se désintègre en Plomb 206 et l’Uranium 235 se désintègre en Plomb 207.</w:t>
      </w:r>
    </w:p>
    <w:p w14:paraId="1591B377" w14:textId="2A6963C4" w:rsidR="00F8083D" w:rsidRDefault="001C5744" w:rsidP="001C5744">
      <w:pPr>
        <w:pStyle w:val="-rponse"/>
      </w:pPr>
      <w:r w:rsidRPr="001C5744">
        <w:t xml:space="preserve">Ainsi, plus une roche (ses minéraux) </w:t>
      </w:r>
      <w:r>
        <w:t>est âgée</w:t>
      </w:r>
      <w:r w:rsidRPr="001C5744">
        <w:t xml:space="preserve">, plus </w:t>
      </w:r>
      <w:r>
        <w:t xml:space="preserve">la quantité de Pb augmente et donc plus les valeurs des rapports </w:t>
      </w:r>
      <w:r w:rsidRPr="001C5744">
        <w:rPr>
          <w:vertAlign w:val="superscript"/>
        </w:rPr>
        <w:t>206</w:t>
      </w:r>
      <w:r>
        <w:t>Pb/</w:t>
      </w:r>
      <w:r>
        <w:rPr>
          <w:vertAlign w:val="superscript"/>
        </w:rPr>
        <w:t>23</w:t>
      </w:r>
      <w:r w:rsidRPr="001C5744">
        <w:rPr>
          <w:vertAlign w:val="superscript"/>
        </w:rPr>
        <w:t>8</w:t>
      </w:r>
      <w:r>
        <w:t xml:space="preserve">U et </w:t>
      </w:r>
      <w:r w:rsidRPr="001C5744">
        <w:rPr>
          <w:vertAlign w:val="superscript"/>
        </w:rPr>
        <w:t>207</w:t>
      </w:r>
      <w:r>
        <w:t>Pb/</w:t>
      </w:r>
      <w:r w:rsidRPr="001C5744">
        <w:rPr>
          <w:vertAlign w:val="superscript"/>
        </w:rPr>
        <w:t>235</w:t>
      </w:r>
      <w:r>
        <w:t>U augmentent.</w:t>
      </w:r>
    </w:p>
    <w:p w14:paraId="1891689F" w14:textId="1D675516" w:rsidR="004779AE" w:rsidRDefault="004779AE">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rPr>
          <w:rFonts w:asciiTheme="minorHAnsi" w:hAnsiTheme="minorHAnsi" w:cstheme="minorHAnsi"/>
          <w:color w:val="2F5496" w:themeColor="accent1" w:themeShade="BF"/>
          <w:sz w:val="24"/>
        </w:rPr>
      </w:pPr>
      <w:r>
        <w:br w:type="page"/>
      </w:r>
    </w:p>
    <w:p w14:paraId="6850E08E" w14:textId="75C43D48" w:rsidR="00F8083D" w:rsidRDefault="00F8083D" w:rsidP="00F8083D">
      <w:pPr>
        <w:pStyle w:val="-question"/>
      </w:pPr>
    </w:p>
    <w:p w14:paraId="5B14739B" w14:textId="3399FCF2" w:rsidR="00F8083D" w:rsidRDefault="00F8083D" w:rsidP="00F8083D">
      <w:r>
        <w:t>- Exploiter les documents 5 et 6 pour dater ces deux roches, en expliquant clairement la démarche suivie. Un travail graphique est attendu sur le document 5. Indiquer une signification possible des données concernant la roche récoltée sur l’île de Guernesey.</w:t>
      </w:r>
    </w:p>
    <w:p w14:paraId="21911533" w14:textId="09FBAC79" w:rsidR="00F8083D" w:rsidRDefault="004A5C25" w:rsidP="000A4C70">
      <w:pPr>
        <w:pStyle w:val="-rponse"/>
      </w:pPr>
      <w:r>
        <w:t xml:space="preserve">Pour la roche issue de l’île de </w:t>
      </w:r>
      <w:r w:rsidRPr="004779AE">
        <w:rPr>
          <w:b/>
          <w:bCs/>
        </w:rPr>
        <w:t>Jersey</w:t>
      </w:r>
      <w:r>
        <w:t xml:space="preserve">, on </w:t>
      </w:r>
      <w:r w:rsidR="004779AE">
        <w:t>dispose</w:t>
      </w:r>
      <w:r>
        <w:t xml:space="preserve"> d’un </w:t>
      </w:r>
      <w:r w:rsidR="004779AE">
        <w:t>couple</w:t>
      </w:r>
      <w:r>
        <w:t xml:space="preserve"> de </w:t>
      </w:r>
      <w:r w:rsidR="004779AE">
        <w:t>coordonnées</w:t>
      </w:r>
      <w:r>
        <w:t xml:space="preserve"> qui place la roche sur la courbe Concordia.</w:t>
      </w:r>
    </w:p>
    <w:p w14:paraId="0DB55D2A" w14:textId="7818F8FF" w:rsidR="004A5C25" w:rsidRDefault="004A5C25" w:rsidP="000A4C70">
      <w:pPr>
        <w:pStyle w:val="-rponse"/>
      </w:pPr>
      <w:r w:rsidRPr="004779AE">
        <w:rPr>
          <w:u w:val="single"/>
        </w:rPr>
        <w:t>Bilan</w:t>
      </w:r>
      <w:r>
        <w:t xml:space="preserve"> : </w:t>
      </w:r>
      <w:r w:rsidRPr="004779AE">
        <w:rPr>
          <w:u w:val="single" w:color="C00000"/>
        </w:rPr>
        <w:t>La roche issue de Jersey est âgée d’un peu moins de 600 millions d’années</w:t>
      </w:r>
      <w:r>
        <w:t>.</w:t>
      </w:r>
    </w:p>
    <w:p w14:paraId="69B63A95" w14:textId="77777777" w:rsidR="004A5C25" w:rsidRPr="00240428" w:rsidRDefault="004A5C25" w:rsidP="000A4C70">
      <w:pPr>
        <w:pStyle w:val="-rponse"/>
        <w:rPr>
          <w:sz w:val="16"/>
          <w:szCs w:val="16"/>
        </w:rPr>
      </w:pPr>
    </w:p>
    <w:p w14:paraId="7F19B86D" w14:textId="1E2717EE" w:rsidR="004A5C25" w:rsidRDefault="004A5C25" w:rsidP="000A4C70">
      <w:pPr>
        <w:pStyle w:val="-rponse"/>
      </w:pPr>
      <w:r>
        <w:t xml:space="preserve">Pour la roche issue de </w:t>
      </w:r>
      <w:r w:rsidRPr="004779AE">
        <w:rPr>
          <w:b/>
          <w:bCs/>
        </w:rPr>
        <w:t>Guernesey</w:t>
      </w:r>
      <w:r>
        <w:t>, les coordonnées associés aux zircons ne se rencontrent pas sur la courbe Concordia.</w:t>
      </w:r>
    </w:p>
    <w:p w14:paraId="352220EC" w14:textId="242B65C8" w:rsidR="004A5C25" w:rsidRDefault="004A5C25" w:rsidP="000A4C70">
      <w:pPr>
        <w:pStyle w:val="-rponse"/>
      </w:pPr>
      <w:r>
        <w:t>Il s’est produit un évènement au niveau de Guernesey qui a rouvert le système et a donc replacé à 0 la valeur du Plomb dans les zircons.</w:t>
      </w:r>
    </w:p>
    <w:p w14:paraId="7831C541" w14:textId="6659FAC3" w:rsidR="004A5C25" w:rsidRDefault="004A5C25" w:rsidP="000A4C70">
      <w:pPr>
        <w:pStyle w:val="-rponse"/>
      </w:pPr>
      <w:r>
        <w:t xml:space="preserve">Les 4 points placés sur le graphe s’alignent selon une </w:t>
      </w:r>
      <w:r w:rsidRPr="004779AE">
        <w:rPr>
          <w:u w:val="single" w:color="C00000"/>
        </w:rPr>
        <w:t>courbe nommée Discordia</w:t>
      </w:r>
      <w:r>
        <w:t xml:space="preserve">. En effet, </w:t>
      </w:r>
      <w:r w:rsidRPr="004A5C25">
        <w:t>si on datait le minéral avec chacun des couples isotopiques, on trouverait des âges différents donc discordants.</w:t>
      </w:r>
    </w:p>
    <w:p w14:paraId="4587F9A5" w14:textId="6311173B" w:rsidR="004A5C25" w:rsidRPr="004779AE" w:rsidRDefault="004A5C25" w:rsidP="000A4C70">
      <w:pPr>
        <w:pStyle w:val="-rponse"/>
        <w:rPr>
          <w:sz w:val="16"/>
          <w:szCs w:val="16"/>
        </w:rPr>
      </w:pPr>
    </w:p>
    <w:p w14:paraId="121D6A0C" w14:textId="28C9A3C0" w:rsidR="004A5C25" w:rsidRDefault="004A5C25" w:rsidP="004A5C25">
      <w:pPr>
        <w:pStyle w:val="-rponse"/>
      </w:pPr>
      <w:r>
        <w:t xml:space="preserve">Une fois l’événement d’ouverture du système passé, la désintégration de l’uranium en plomb se poursuit et les minéraux évoluent alors hors de la </w:t>
      </w:r>
      <w:r w:rsidR="00DD621D">
        <w:t>Concordia</w:t>
      </w:r>
      <w:r>
        <w:t xml:space="preserve"> mais restent alignés sur une </w:t>
      </w:r>
      <w:r w:rsidR="00DD621D">
        <w:t>D</w:t>
      </w:r>
      <w:r>
        <w:t xml:space="preserve">iscordia. La </w:t>
      </w:r>
      <w:r w:rsidR="00DD621D">
        <w:t>D</w:t>
      </w:r>
      <w:r>
        <w:t xml:space="preserve">iscordia va donc avoir deux intercepts avec la </w:t>
      </w:r>
      <w:r w:rsidR="00DD621D">
        <w:t>Concordia</w:t>
      </w:r>
      <w:r>
        <w:t> :</w:t>
      </w:r>
    </w:p>
    <w:p w14:paraId="0D7A03A3" w14:textId="0B291084" w:rsidR="004A5C25" w:rsidRDefault="004A5C25" w:rsidP="004A5C25">
      <w:pPr>
        <w:pStyle w:val="-rponse"/>
        <w:ind w:left="284"/>
      </w:pPr>
      <w:r>
        <w:t>- l’intercept supérieur qui correspondrait à un minéral n’ayant perdu aucun isotope, cet intercept donne l’âge de la roche ;</w:t>
      </w:r>
    </w:p>
    <w:p w14:paraId="45DDA5DC" w14:textId="23D83AD2" w:rsidR="004A5C25" w:rsidRDefault="004A5C25" w:rsidP="004A5C25">
      <w:pPr>
        <w:pStyle w:val="-rponse"/>
        <w:ind w:left="284"/>
      </w:pPr>
      <w:r>
        <w:t xml:space="preserve">- l’intercept inférieur qui correspondrait à un minéral qui aurait perdu tout son plomb, il se serait alors retrouvé au début de la </w:t>
      </w:r>
      <w:r w:rsidR="00DD621D">
        <w:t>Concordia</w:t>
      </w:r>
      <w:r>
        <w:t xml:space="preserve"> et aurait alors évolué dessus à nouveau, cet intercept correspond donc à l’âge de réouverture du système donc du métamorphisme.</w:t>
      </w:r>
    </w:p>
    <w:p w14:paraId="5E76837C" w14:textId="3B25D92C" w:rsidR="004779AE" w:rsidRDefault="004779AE" w:rsidP="004779AE">
      <w:pPr>
        <w:pStyle w:val="-rponse"/>
      </w:pPr>
      <w:r>
        <w:t>Ici, il n’y a pas d’intercept inférieur.</w:t>
      </w:r>
    </w:p>
    <w:p w14:paraId="558D9F13" w14:textId="7C1440AE" w:rsidR="004779AE" w:rsidRPr="004779AE" w:rsidRDefault="004779AE" w:rsidP="004779AE">
      <w:pPr>
        <w:pStyle w:val="-rponse"/>
        <w:rPr>
          <w:sz w:val="20"/>
          <w:szCs w:val="20"/>
        </w:rPr>
      </w:pPr>
      <w:r w:rsidRPr="004779AE">
        <w:rPr>
          <w:sz w:val="20"/>
          <w:szCs w:val="20"/>
          <w:u w:val="single"/>
        </w:rPr>
        <w:t>Source</w:t>
      </w:r>
      <w:r w:rsidRPr="004779AE">
        <w:rPr>
          <w:sz w:val="20"/>
          <w:szCs w:val="20"/>
        </w:rPr>
        <w:t xml:space="preserve"> : </w:t>
      </w:r>
      <w:hyperlink r:id="rId8" w:history="1">
        <w:r w:rsidRPr="004779AE">
          <w:rPr>
            <w:rStyle w:val="Lienhypertexte"/>
            <w:sz w:val="20"/>
            <w:szCs w:val="20"/>
          </w:rPr>
          <w:t>https://tristan.ferroir.fr/index.php/2020/07/25/la-datation-par-concordia-discordia/</w:t>
        </w:r>
      </w:hyperlink>
    </w:p>
    <w:p w14:paraId="2EB333F4" w14:textId="3926A3D8" w:rsidR="004779AE" w:rsidRDefault="004779AE" w:rsidP="004779AE">
      <w:r>
        <w:t>- Confronter les résultats obtenus avec ceux de la question 1 (zones A1 et A2).</w:t>
      </w:r>
    </w:p>
    <w:p w14:paraId="78B36F9B" w14:textId="683B0C64" w:rsidR="004779AE" w:rsidRDefault="004779AE" w:rsidP="004779AE">
      <w:pPr>
        <w:pStyle w:val="-rponse"/>
      </w:pPr>
      <w:r>
        <w:t xml:space="preserve">L’intercept supérieur de la courbe </w:t>
      </w:r>
      <w:r w:rsidR="00DD621D">
        <w:t>Discordia</w:t>
      </w:r>
      <w:r>
        <w:t xml:space="preserve"> avec la courbe </w:t>
      </w:r>
      <w:r w:rsidR="00DD621D">
        <w:t>Concordia</w:t>
      </w:r>
      <w:r>
        <w:t xml:space="preserve"> donne l’âge de la roche.</w:t>
      </w:r>
    </w:p>
    <w:p w14:paraId="0DED028C" w14:textId="68F74D08" w:rsidR="00F8083D" w:rsidRDefault="004779AE" w:rsidP="004779AE">
      <w:pPr>
        <w:pStyle w:val="-rponse"/>
      </w:pPr>
      <w:r>
        <w:t xml:space="preserve">On trouve ici </w:t>
      </w:r>
      <w:r w:rsidRPr="004779AE">
        <w:rPr>
          <w:u w:val="single" w:color="C00000"/>
        </w:rPr>
        <w:t>2 Milliards d’années</w:t>
      </w:r>
      <w:r>
        <w:t>.</w:t>
      </w:r>
    </w:p>
    <w:p w14:paraId="64D20252" w14:textId="58DBA1D4" w:rsidR="004779AE" w:rsidRDefault="004779AE" w:rsidP="004779AE">
      <w:pPr>
        <w:pStyle w:val="-rponse"/>
      </w:pPr>
      <w:r>
        <w:t xml:space="preserve">C’est tout à fait </w:t>
      </w:r>
      <w:r w:rsidRPr="004779AE">
        <w:rPr>
          <w:u w:val="single" w:color="C00000"/>
        </w:rPr>
        <w:t>en accord avec les informations portées sur la carte de France</w:t>
      </w:r>
      <w:r>
        <w:t>.</w:t>
      </w:r>
    </w:p>
    <w:p w14:paraId="32D6A474" w14:textId="69047D2E" w:rsidR="00240428" w:rsidRDefault="00240428" w:rsidP="00240428">
      <w:pPr>
        <w:pStyle w:val="-rponse"/>
        <w:jc w:val="center"/>
      </w:pPr>
      <w:r>
        <w:rPr>
          <w:noProof/>
        </w:rPr>
        <w:drawing>
          <wp:inline distT="0" distB="0" distL="0" distR="0" wp14:anchorId="6C433AE1" wp14:editId="624FB676">
            <wp:extent cx="4176869" cy="3132000"/>
            <wp:effectExtent l="0" t="0" r="0" b="0"/>
            <wp:docPr id="212559678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6869" cy="3132000"/>
                    </a:xfrm>
                    <a:prstGeom prst="rect">
                      <a:avLst/>
                    </a:prstGeom>
                    <a:noFill/>
                    <a:ln>
                      <a:noFill/>
                    </a:ln>
                  </pic:spPr>
                </pic:pic>
              </a:graphicData>
            </a:graphic>
          </wp:inline>
        </w:drawing>
      </w:r>
    </w:p>
    <w:p w14:paraId="4BA0DF9B" w14:textId="6E9A94F2" w:rsidR="004779AE" w:rsidRDefault="00240428" w:rsidP="00240428">
      <w:pPr>
        <w:pStyle w:val="-rponse"/>
      </w:pPr>
      <w:r w:rsidRPr="00240428">
        <w:rPr>
          <w:u w:val="single"/>
        </w:rPr>
        <w:t>Titre</w:t>
      </w:r>
      <w:r>
        <w:t xml:space="preserve"> : Courbes </w:t>
      </w:r>
      <w:r w:rsidR="00DD621D">
        <w:t>Concordia</w:t>
      </w:r>
      <w:r>
        <w:t xml:space="preserve"> et </w:t>
      </w:r>
      <w:r w:rsidR="00DD621D">
        <w:t>Discordia</w:t>
      </w:r>
      <w:r>
        <w:t xml:space="preserve"> des roches issues des îles de Jersey et Guernesey</w:t>
      </w:r>
      <w:r w:rsidR="004779AE">
        <w:br w:type="page"/>
      </w:r>
    </w:p>
    <w:p w14:paraId="780CC595" w14:textId="32ECE6FD" w:rsidR="00F61005" w:rsidRDefault="00F61005" w:rsidP="00F61005">
      <w:pPr>
        <w:pStyle w:val="Titre1"/>
      </w:pPr>
      <w:r w:rsidRPr="00A91BDF">
        <w:lastRenderedPageBreak/>
        <w:t xml:space="preserve">Thème </w:t>
      </w:r>
      <w:r>
        <w:t>2</w:t>
      </w:r>
      <w:r w:rsidRPr="00A91BDF">
        <w:t xml:space="preserve"> — </w:t>
      </w:r>
      <w:r w:rsidRPr="00F61005">
        <w:t>Au large des îles</w:t>
      </w:r>
    </w:p>
    <w:p w14:paraId="1A2769D8" w14:textId="77777777" w:rsidR="00F61005" w:rsidRDefault="00F61005" w:rsidP="00F61005">
      <w:pPr>
        <w:pStyle w:val="-question"/>
      </w:pPr>
    </w:p>
    <w:p w14:paraId="69411211" w14:textId="77777777" w:rsidR="00F61005" w:rsidRDefault="00F61005" w:rsidP="00F61005">
      <w:pPr>
        <w:pStyle w:val="-question"/>
        <w:numPr>
          <w:ilvl w:val="1"/>
          <w:numId w:val="1"/>
        </w:numPr>
      </w:pPr>
      <w:r>
        <w:t>Sous la forme d’un schéma, modéliser l’état d’équilibre isostatique entre les points A et B.</w:t>
      </w:r>
    </w:p>
    <w:p w14:paraId="1F90CA91" w14:textId="77777777" w:rsidR="00DC2B65" w:rsidRPr="00DC2B65" w:rsidRDefault="00DC2B65" w:rsidP="00DC2B65"/>
    <w:p w14:paraId="1B4BE212" w14:textId="3B9ED93E" w:rsidR="00F61005" w:rsidRDefault="00DC2B65" w:rsidP="00DC2B65">
      <w:pPr>
        <w:pStyle w:val="-rponse"/>
        <w:jc w:val="center"/>
      </w:pPr>
      <w:r>
        <w:rPr>
          <w:noProof/>
        </w:rPr>
        <w:drawing>
          <wp:inline distT="0" distB="0" distL="0" distR="0" wp14:anchorId="78939492" wp14:editId="50BA042B">
            <wp:extent cx="3295015" cy="3572510"/>
            <wp:effectExtent l="0" t="0" r="635" b="8890"/>
            <wp:docPr id="19420457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015" cy="3572510"/>
                    </a:xfrm>
                    <a:prstGeom prst="rect">
                      <a:avLst/>
                    </a:prstGeom>
                    <a:noFill/>
                    <a:ln>
                      <a:noFill/>
                    </a:ln>
                  </pic:spPr>
                </pic:pic>
              </a:graphicData>
            </a:graphic>
          </wp:inline>
        </w:drawing>
      </w:r>
    </w:p>
    <w:p w14:paraId="786E262E" w14:textId="2DE9755D" w:rsidR="00DC2B65" w:rsidRDefault="00DC2B65" w:rsidP="00DC2B65">
      <w:pPr>
        <w:pStyle w:val="-rponse"/>
        <w:jc w:val="left"/>
      </w:pPr>
      <w:r w:rsidRPr="00DC2B65">
        <w:rPr>
          <w:u w:val="single"/>
        </w:rPr>
        <w:t>Titre</w:t>
      </w:r>
      <w:r>
        <w:t> : M</w:t>
      </w:r>
      <w:r w:rsidRPr="00DC2B65">
        <w:t>odélis</w:t>
      </w:r>
      <w:r>
        <w:t>ation de</w:t>
      </w:r>
      <w:r w:rsidRPr="00DC2B65">
        <w:t xml:space="preserve"> l’état d’équilibre isostatique entre les points A et B</w:t>
      </w:r>
    </w:p>
    <w:p w14:paraId="1B7563B5" w14:textId="1036A45B" w:rsidR="00F61005" w:rsidRDefault="00F61005" w:rsidP="00F61005">
      <w:pPr>
        <w:pStyle w:val="-question"/>
        <w:numPr>
          <w:ilvl w:val="1"/>
          <w:numId w:val="1"/>
        </w:numPr>
      </w:pPr>
      <w:r>
        <w:t xml:space="preserve">Exprimer la profondeur </w:t>
      </w:r>
      <w:r w:rsidRPr="00DD1472">
        <w:rPr>
          <w:b/>
          <w:bCs w:val="0"/>
        </w:rPr>
        <w:t>p</w:t>
      </w:r>
      <w:r>
        <w:t xml:space="preserve"> du plancher océanique au point B, prévue par le modèle isostatique à l’équilibre proposé en a., en fonction des données du problème : H</w:t>
      </w:r>
      <w:r w:rsidRPr="00DD1472">
        <w:rPr>
          <w:vertAlign w:val="subscript"/>
        </w:rPr>
        <w:t>CC</w:t>
      </w:r>
      <w:r>
        <w:t>, H</w:t>
      </w:r>
      <w:r w:rsidRPr="00DD1472">
        <w:rPr>
          <w:vertAlign w:val="subscript"/>
        </w:rPr>
        <w:t>CO</w:t>
      </w:r>
      <w:r>
        <w:t xml:space="preserve">, </w:t>
      </w:r>
      <w:proofErr w:type="spellStart"/>
      <w:r>
        <w:t>d</w:t>
      </w:r>
      <w:r w:rsidRPr="00DD1472">
        <w:rPr>
          <w:vertAlign w:val="subscript"/>
        </w:rPr>
        <w:t>ML</w:t>
      </w:r>
      <w:proofErr w:type="spellEnd"/>
      <w:r>
        <w:t xml:space="preserve">, </w:t>
      </w:r>
      <w:proofErr w:type="spellStart"/>
      <w:r>
        <w:t>d</w:t>
      </w:r>
      <w:r w:rsidRPr="00DD1472">
        <w:rPr>
          <w:vertAlign w:val="subscript"/>
        </w:rPr>
        <w:t>CC</w:t>
      </w:r>
      <w:proofErr w:type="spellEnd"/>
      <w:r>
        <w:t xml:space="preserve">, </w:t>
      </w:r>
      <w:proofErr w:type="spellStart"/>
      <w:r>
        <w:t>d</w:t>
      </w:r>
      <w:r w:rsidRPr="00DD1472">
        <w:rPr>
          <w:vertAlign w:val="subscript"/>
        </w:rPr>
        <w:t>CO</w:t>
      </w:r>
      <w:proofErr w:type="spellEnd"/>
      <w:r>
        <w:t xml:space="preserve"> et d</w:t>
      </w:r>
      <w:r w:rsidRPr="00DD1472">
        <w:rPr>
          <w:vertAlign w:val="subscript"/>
        </w:rPr>
        <w:t>e</w:t>
      </w:r>
      <w:r>
        <w:t>.</w:t>
      </w:r>
    </w:p>
    <w:p w14:paraId="017EE97B" w14:textId="77777777" w:rsidR="00F61005" w:rsidRDefault="00F61005" w:rsidP="00F61005">
      <w:r>
        <w:t>Aucune application numérique n’est demandée.</w:t>
      </w:r>
    </w:p>
    <w:p w14:paraId="1E4D22A4" w14:textId="2163A86D" w:rsidR="00F61005" w:rsidRDefault="00DC2B65" w:rsidP="000A4C70">
      <w:pPr>
        <w:pStyle w:val="-rponse"/>
      </w:pPr>
      <w:r>
        <w:t>Le modèle isostatique prévoit que les colonnes de roches des points A et B exercent la même pression sur la surface de compensation</w:t>
      </w:r>
      <w:r w:rsidR="00DB3F6A">
        <w:t> : P</w:t>
      </w:r>
      <w:r w:rsidR="00DB3F6A" w:rsidRPr="00DB3F6A">
        <w:rPr>
          <w:vertAlign w:val="subscript"/>
        </w:rPr>
        <w:t>A</w:t>
      </w:r>
      <w:r w:rsidR="00DB3F6A">
        <w:t xml:space="preserve"> = P</w:t>
      </w:r>
      <w:r w:rsidR="00DB3F6A" w:rsidRPr="00DB3F6A">
        <w:rPr>
          <w:vertAlign w:val="subscript"/>
        </w:rPr>
        <w:t>B</w:t>
      </w:r>
      <w:r w:rsidR="00DB3F6A">
        <w:t>.</w:t>
      </w:r>
    </w:p>
    <w:p w14:paraId="4E86F0B5" w14:textId="67C29CF1" w:rsidR="00DC2B65" w:rsidRDefault="00DC2B65" w:rsidP="000A4C70">
      <w:pPr>
        <w:pStyle w:val="-rponse"/>
      </w:pPr>
      <w:r>
        <w:t>(</w:t>
      </w:r>
      <w:proofErr w:type="spellStart"/>
      <w:proofErr w:type="gramStart"/>
      <w:r>
        <w:t>h</w:t>
      </w:r>
      <w:r w:rsidRPr="00DC2B65">
        <w:rPr>
          <w:vertAlign w:val="subscript"/>
        </w:rPr>
        <w:t>e</w:t>
      </w:r>
      <w:proofErr w:type="spellEnd"/>
      <w:proofErr w:type="gramEnd"/>
      <w:r>
        <w:t xml:space="preserve"> × d</w:t>
      </w:r>
      <w:r w:rsidRPr="00DC2B65">
        <w:rPr>
          <w:vertAlign w:val="subscript"/>
        </w:rPr>
        <w:t>e</w:t>
      </w:r>
      <w:r>
        <w:t>) + (</w:t>
      </w:r>
      <w:proofErr w:type="spellStart"/>
      <w:r>
        <w:t>h</w:t>
      </w:r>
      <w:r w:rsidRPr="00DC2B65">
        <w:rPr>
          <w:vertAlign w:val="subscript"/>
        </w:rPr>
        <w:t>CO</w:t>
      </w:r>
      <w:proofErr w:type="spellEnd"/>
      <w:r>
        <w:t xml:space="preserve"> × </w:t>
      </w:r>
      <w:proofErr w:type="spellStart"/>
      <w:r>
        <w:t>d</w:t>
      </w:r>
      <w:r w:rsidRPr="00DC2B65">
        <w:rPr>
          <w:vertAlign w:val="subscript"/>
        </w:rPr>
        <w:t>CO</w:t>
      </w:r>
      <w:proofErr w:type="spellEnd"/>
      <w:r>
        <w:t>) + (</w:t>
      </w:r>
      <w:proofErr w:type="spellStart"/>
      <w:r>
        <w:t>h</w:t>
      </w:r>
      <w:r w:rsidRPr="00DC2B65">
        <w:rPr>
          <w:vertAlign w:val="subscript"/>
        </w:rPr>
        <w:t>ML</w:t>
      </w:r>
      <w:proofErr w:type="spellEnd"/>
      <w:r>
        <w:t xml:space="preserve"> × </w:t>
      </w:r>
      <w:proofErr w:type="spellStart"/>
      <w:r>
        <w:t>d</w:t>
      </w:r>
      <w:r w:rsidRPr="00DC2B65">
        <w:rPr>
          <w:vertAlign w:val="subscript"/>
        </w:rPr>
        <w:t>ML</w:t>
      </w:r>
      <w:proofErr w:type="spellEnd"/>
      <w:r>
        <w:t xml:space="preserve">) </w:t>
      </w:r>
      <w:r w:rsidRPr="00DC2B65">
        <w:rPr>
          <w:b/>
          <w:bCs/>
        </w:rPr>
        <w:t>=</w:t>
      </w:r>
      <w:r>
        <w:t xml:space="preserve"> </w:t>
      </w:r>
      <w:proofErr w:type="spellStart"/>
      <w:r>
        <w:t>h</w:t>
      </w:r>
      <w:r w:rsidRPr="00DC2B65">
        <w:rPr>
          <w:vertAlign w:val="subscript"/>
        </w:rPr>
        <w:t>CC</w:t>
      </w:r>
      <w:proofErr w:type="spellEnd"/>
      <w:r>
        <w:t xml:space="preserve"> × </w:t>
      </w:r>
      <w:proofErr w:type="spellStart"/>
      <w:r>
        <w:t>d</w:t>
      </w:r>
      <w:r w:rsidRPr="00DC2B65">
        <w:rPr>
          <w:vertAlign w:val="subscript"/>
        </w:rPr>
        <w:t>CC</w:t>
      </w:r>
      <w:proofErr w:type="spellEnd"/>
    </w:p>
    <w:p w14:paraId="26303532" w14:textId="3EBAC610" w:rsidR="00F61005" w:rsidRDefault="00F61005" w:rsidP="00F61005">
      <w:pPr>
        <w:pStyle w:val="-question"/>
        <w:numPr>
          <w:ilvl w:val="1"/>
          <w:numId w:val="1"/>
        </w:numPr>
      </w:pPr>
      <w:r>
        <w:t>Interpréter l’anomalie gravimétrique de Bouguer au niveau du point B, en lien avec le modèle isostatique à l’équilibre proposé.</w:t>
      </w:r>
    </w:p>
    <w:p w14:paraId="1305DDDA" w14:textId="32A43D81" w:rsidR="00F61005" w:rsidRDefault="00F16E56" w:rsidP="000A4C70">
      <w:pPr>
        <w:pStyle w:val="-rponse"/>
      </w:pPr>
      <w:r>
        <w:t>Au niveau du point B, la valeur de l’anomalie de Bouguer est positive (et croît avec l’éloignement au continent</w:t>
      </w:r>
      <w:r w:rsidR="00DB3F6A">
        <w:t xml:space="preserve"> : jaune </w:t>
      </w:r>
      <w:r w:rsidR="00DB3F6A">
        <w:sym w:font="Wingdings" w:char="F0E0"/>
      </w:r>
      <w:r w:rsidR="00DB3F6A">
        <w:t xml:space="preserve"> rouge sans quantification précise possible</w:t>
      </w:r>
      <w:r>
        <w:t>).</w:t>
      </w:r>
    </w:p>
    <w:p w14:paraId="76AE0FBA" w14:textId="60174504" w:rsidR="00F16E56" w:rsidRDefault="00F16E56" w:rsidP="000A4C70">
      <w:pPr>
        <w:pStyle w:val="-rponse"/>
      </w:pPr>
      <w:r>
        <w:t>Le modèle isostatique utilisé précédemment se base sur le modèle PREM continental, avec 30 km de croûte continentale.</w:t>
      </w:r>
    </w:p>
    <w:p w14:paraId="1FC551B5" w14:textId="73D023BA" w:rsidR="00F16E56" w:rsidRDefault="00F16E56" w:rsidP="000A4C70">
      <w:pPr>
        <w:pStyle w:val="-rponse"/>
      </w:pPr>
      <w:r>
        <w:t xml:space="preserve">On voit sur le schéma que le point B correspond à une zone avec une épaisseur réduite de croûte océanique </w:t>
      </w:r>
      <w:r w:rsidR="00DB3F6A">
        <w:t xml:space="preserve">(d = 2,8) </w:t>
      </w:r>
      <w:r>
        <w:t>(6-8 km et même moins au niveau de l’océan Atlantique à dorsale lente) et une épaisseur / présence de manteau lithosphérique dense</w:t>
      </w:r>
      <w:r w:rsidR="00DB3F6A">
        <w:t xml:space="preserve"> (d = 3,3)</w:t>
      </w:r>
      <w:r>
        <w:t>.</w:t>
      </w:r>
    </w:p>
    <w:p w14:paraId="1C575D18" w14:textId="10419B44" w:rsidR="00F61005" w:rsidRDefault="00F16E56" w:rsidP="00F16E56">
      <w:pPr>
        <w:pStyle w:val="-rponse"/>
      </w:pPr>
      <w:r>
        <w:t>Il y a donc au niveau du point B beaucoup de matière mantellique dense et peu de matière crustale peu dense. Il est donc tout à fait normal de voir ici une anomalie positive.</w:t>
      </w:r>
    </w:p>
    <w:p w14:paraId="0357397D" w14:textId="2810D659" w:rsidR="00F67DF2" w:rsidRDefault="00F67DF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pPr>
      <w:r>
        <w:br w:type="page"/>
      </w:r>
    </w:p>
    <w:p w14:paraId="00F668F4" w14:textId="029BD13D" w:rsidR="00F61005" w:rsidRDefault="00F61005" w:rsidP="00F61005">
      <w:pPr>
        <w:pStyle w:val="Titre1"/>
      </w:pPr>
      <w:r w:rsidRPr="00A91BDF">
        <w:lastRenderedPageBreak/>
        <w:t xml:space="preserve">Thème </w:t>
      </w:r>
      <w:r>
        <w:t>3</w:t>
      </w:r>
      <w:r w:rsidRPr="00A91BDF">
        <w:t xml:space="preserve"> — </w:t>
      </w:r>
      <w:r w:rsidRPr="00F61005">
        <w:t>Plage rouge, métamorphisme et déformations sur l’île de Groix</w:t>
      </w:r>
    </w:p>
    <w:p w14:paraId="2B8FCC5D" w14:textId="77777777" w:rsidR="00F61005" w:rsidRDefault="00F61005" w:rsidP="00F61005">
      <w:pPr>
        <w:pStyle w:val="-question"/>
      </w:pPr>
    </w:p>
    <w:p w14:paraId="7B73283F" w14:textId="65BE124A" w:rsidR="00F61005" w:rsidRDefault="00F61005" w:rsidP="00F8083D">
      <w:r w:rsidRPr="00F61005">
        <w:t>Indiquer succinctement comment est construit ce type de carte.</w:t>
      </w:r>
    </w:p>
    <w:p w14:paraId="46D3A375" w14:textId="36D49F12" w:rsidR="00F61005" w:rsidRDefault="0057534E" w:rsidP="0057534E">
      <w:pPr>
        <w:pStyle w:val="-rponse"/>
      </w:pPr>
      <w:r>
        <w:t>Échantillonnage sur le terrain et report de la position des limites de roches distinctes.</w:t>
      </w:r>
    </w:p>
    <w:p w14:paraId="6EFB249B" w14:textId="77777777" w:rsidR="00F61005" w:rsidRDefault="00F61005" w:rsidP="00F61005">
      <w:pPr>
        <w:pStyle w:val="-question"/>
      </w:pPr>
    </w:p>
    <w:p w14:paraId="3E4D247F" w14:textId="2D7BF879" w:rsidR="00F61005" w:rsidRDefault="00F61005" w:rsidP="00F61005">
      <w:r>
        <w:t xml:space="preserve">À l’aide des données extraites des documents 8 et 9 ainsi que des connaissances utiles, expliciter les étapes et mécanismes à l’origine de la formation des sables rouges de cette plage. </w:t>
      </w:r>
      <w:r w:rsidRPr="00F61005">
        <w:rPr>
          <w:i/>
          <w:iCs/>
        </w:rPr>
        <w:t>Répondre en 8 lignes maximum et sans schéma.</w:t>
      </w:r>
    </w:p>
    <w:p w14:paraId="69C2BB77" w14:textId="72B1E8AF" w:rsidR="00F61005" w:rsidRDefault="0057534E" w:rsidP="000A4C70">
      <w:pPr>
        <w:pStyle w:val="-rponse"/>
      </w:pPr>
      <w:r>
        <w:t xml:space="preserve">La roche présente est un résidu de micaschistes et gneiss. Il y a eu </w:t>
      </w:r>
      <w:r w:rsidRPr="00A7412E">
        <w:rPr>
          <w:u w:val="single" w:color="C00000"/>
        </w:rPr>
        <w:t>altération</w:t>
      </w:r>
      <w:r>
        <w:t xml:space="preserve"> formant des résidus.</w:t>
      </w:r>
    </w:p>
    <w:p w14:paraId="5B6CCD4C" w14:textId="67B8A792" w:rsidR="00F61005" w:rsidRDefault="0057534E" w:rsidP="0057534E">
      <w:pPr>
        <w:pStyle w:val="-rponse"/>
      </w:pPr>
      <w:r>
        <w:t>On observe donc des minéraux résiduels, initialement présents dans une roche maintenant altéré</w:t>
      </w:r>
      <w:r w:rsidR="00F07192">
        <w:t>e</w:t>
      </w:r>
      <w:r>
        <w:t>. Ces minéraux résiduels sont maintenant libres et forment les différents éléments de la plage des Sables Rouges.</w:t>
      </w:r>
    </w:p>
    <w:p w14:paraId="4F28784E" w14:textId="77777777" w:rsidR="00F61005" w:rsidRDefault="00F61005" w:rsidP="00F61005">
      <w:pPr>
        <w:pStyle w:val="-question"/>
      </w:pPr>
    </w:p>
    <w:p w14:paraId="25B2B736" w14:textId="118C281F" w:rsidR="00F61005" w:rsidRDefault="00F61005" w:rsidP="00F61005">
      <w:r>
        <w:t>À l’aide des documents et de vos connaissances, et en exploitant de manière quantitative le document 10 dans l’annexe, expliquer les mécanismes à l’origine de l’accumulation des sables rouges en une zone marquée, entre les galets centimétriques et les sables blancs.</w:t>
      </w:r>
    </w:p>
    <w:p w14:paraId="42EAE983" w14:textId="3AEFCF5C" w:rsidR="00F07192" w:rsidRDefault="00F07192" w:rsidP="00F07192">
      <w:pPr>
        <w:pStyle w:val="-rponse"/>
      </w:pPr>
      <w:r>
        <w:t>Les galets ont une taille centimétrique.</w:t>
      </w:r>
    </w:p>
    <w:p w14:paraId="216C4129" w14:textId="110275EB" w:rsidR="00F07192" w:rsidRDefault="00B80D16" w:rsidP="00F07192">
      <w:pPr>
        <w:pStyle w:val="-rponse"/>
      </w:pPr>
      <w:r w:rsidRPr="00D17761">
        <w:rPr>
          <w:noProof/>
          <w:u w:val="single"/>
        </w:rPr>
        <w:drawing>
          <wp:anchor distT="0" distB="0" distL="114300" distR="114300" simplePos="0" relativeHeight="251654656" behindDoc="1" locked="0" layoutInCell="1" allowOverlap="1" wp14:anchorId="79D3B043" wp14:editId="252A4117">
            <wp:simplePos x="0" y="0"/>
            <wp:positionH relativeFrom="margin">
              <wp:align>center</wp:align>
            </wp:positionH>
            <wp:positionV relativeFrom="paragraph">
              <wp:posOffset>635</wp:posOffset>
            </wp:positionV>
            <wp:extent cx="4531995" cy="3239770"/>
            <wp:effectExtent l="0" t="0" r="1905" b="0"/>
            <wp:wrapTopAndBottom/>
            <wp:docPr id="10223972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97282" name="Imag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32409"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192">
        <w:t xml:space="preserve">La taille des grenats </w:t>
      </w:r>
      <w:r w:rsidR="002078E1">
        <w:t xml:space="preserve">rouges </w:t>
      </w:r>
      <w:r w:rsidR="00F07192">
        <w:t xml:space="preserve">et des sables </w:t>
      </w:r>
      <w:r w:rsidR="002078E1">
        <w:t xml:space="preserve">(quartz translucides) </w:t>
      </w:r>
      <w:r w:rsidR="00F07192">
        <w:t>visibles sur la photographie du document 9</w:t>
      </w:r>
      <w:r w:rsidR="00F07192" w:rsidRPr="00F07192">
        <w:t xml:space="preserve"> </w:t>
      </w:r>
      <w:r w:rsidR="00F07192">
        <w:t>est de 1 </w:t>
      </w:r>
      <w:proofErr w:type="spellStart"/>
      <w:r w:rsidR="00F07192">
        <w:t>mm.</w:t>
      </w:r>
      <w:proofErr w:type="spellEnd"/>
    </w:p>
    <w:p w14:paraId="2279427B" w14:textId="03633C06" w:rsidR="00ED6647" w:rsidRDefault="00D17761" w:rsidP="00F07192">
      <w:pPr>
        <w:pStyle w:val="-rponse"/>
      </w:pPr>
      <w:r w:rsidRPr="00D17761">
        <w:rPr>
          <w:u w:val="single"/>
        </w:rPr>
        <w:t>Titre</w:t>
      </w:r>
      <w:r>
        <w:t xml:space="preserve"> : Zone de vitesse de la plage des sables rouges </w:t>
      </w:r>
      <w:r w:rsidRPr="00D17761">
        <w:t>à l’origine de l’accumulation des sables rouges en une zone marquée, entre les galets centimétriques et les sables blancs</w:t>
      </w:r>
    </w:p>
    <w:p w14:paraId="5A59ED11" w14:textId="77777777" w:rsidR="00D17761" w:rsidRDefault="00D17761" w:rsidP="00F07192">
      <w:pPr>
        <w:pStyle w:val="-rponse"/>
      </w:pPr>
    </w:p>
    <w:p w14:paraId="50DD86C8" w14:textId="72845912" w:rsidR="00ED6647" w:rsidRDefault="00F07192" w:rsidP="00F07192">
      <w:pPr>
        <w:pStyle w:val="-rponse"/>
      </w:pPr>
      <w:r>
        <w:t xml:space="preserve">Il faut alors trouver une zone </w:t>
      </w:r>
      <w:r w:rsidR="002078E1">
        <w:t xml:space="preserve">de vitesse </w:t>
      </w:r>
      <w:r>
        <w:t>d</w:t>
      </w:r>
      <w:r w:rsidR="002078E1">
        <w:t xml:space="preserve">u diagramme de </w:t>
      </w:r>
      <w:proofErr w:type="spellStart"/>
      <w:r w:rsidR="002078E1" w:rsidRPr="002078E1">
        <w:t>Hjulström</w:t>
      </w:r>
      <w:proofErr w:type="spellEnd"/>
      <w:r w:rsidR="002078E1">
        <w:t xml:space="preserve"> permettant un transport de certaines particules et le dépôt de particules plus denses</w:t>
      </w:r>
      <w:r w:rsidR="00ED6647">
        <w:t xml:space="preserve"> de taille 1 </w:t>
      </w:r>
      <w:proofErr w:type="spellStart"/>
      <w:r w:rsidR="00ED6647">
        <w:t>mm.</w:t>
      </w:r>
      <w:proofErr w:type="spellEnd"/>
    </w:p>
    <w:p w14:paraId="46D17EEC" w14:textId="523B0A31" w:rsidR="00F07192" w:rsidRDefault="00ED6647" w:rsidP="00F07192">
      <w:pPr>
        <w:pStyle w:val="-rponse"/>
      </w:pPr>
      <w:r w:rsidRPr="00A7412E">
        <w:rPr>
          <w:u w:val="single" w:color="C00000"/>
        </w:rPr>
        <w:t>6 cm/s</w:t>
      </w:r>
      <w:r>
        <w:t xml:space="preserve"> peut être à l’origine de l’accumulation observée.</w:t>
      </w:r>
    </w:p>
    <w:p w14:paraId="5C1D529F" w14:textId="6EE2EB57" w:rsidR="00ED6647" w:rsidRDefault="00ED6647" w:rsidP="00F07192">
      <w:pPr>
        <w:pStyle w:val="-rponse"/>
      </w:pPr>
      <w:r w:rsidRPr="005A5CCD">
        <w:rPr>
          <w:u w:val="single" w:color="C00000"/>
        </w:rPr>
        <w:t>Les sables sont transportés à 6 cm/s alors que les grenats plus denses se déposent</w:t>
      </w:r>
      <w:r>
        <w:t>.</w:t>
      </w:r>
    </w:p>
    <w:p w14:paraId="033A4B27" w14:textId="46E883CF" w:rsidR="00D17761" w:rsidRDefault="002078E1" w:rsidP="00D17761">
      <w:pPr>
        <w:pStyle w:val="-rponse"/>
      </w:pPr>
      <w:r w:rsidRPr="00ED6647">
        <w:rPr>
          <w:sz w:val="20"/>
          <w:szCs w:val="20"/>
          <w:u w:val="single"/>
        </w:rPr>
        <w:t>Source</w:t>
      </w:r>
      <w:r w:rsidRPr="00ED6647">
        <w:rPr>
          <w:sz w:val="20"/>
          <w:szCs w:val="20"/>
        </w:rPr>
        <w:t xml:space="preserve"> : </w:t>
      </w:r>
      <w:hyperlink r:id="rId12" w:history="1">
        <w:r w:rsidRPr="00ED6647">
          <w:rPr>
            <w:rStyle w:val="Lienhypertexte"/>
            <w:sz w:val="20"/>
            <w:szCs w:val="20"/>
          </w:rPr>
          <w:t>https://planet-terre.ens-lyon.fr/ressource/Groix-plages-erosion.xml</w:t>
        </w:r>
      </w:hyperlink>
      <w:r w:rsidRPr="00ED6647">
        <w:rPr>
          <w:sz w:val="20"/>
          <w:szCs w:val="20"/>
        </w:rPr>
        <w:t xml:space="preserve"> </w:t>
      </w:r>
      <w:r w:rsidR="00ED6647" w:rsidRPr="00ED6647">
        <w:t xml:space="preserve">Situation de </w:t>
      </w:r>
      <w:r w:rsidR="00ED6647" w:rsidRPr="00ED6647">
        <w:rPr>
          <w:u w:val="single" w:color="C00000"/>
        </w:rPr>
        <w:t>placer</w:t>
      </w:r>
      <w:r w:rsidR="00ED6647" w:rsidRPr="00ED6647">
        <w:t>.</w:t>
      </w:r>
      <w:r w:rsidR="00D17761">
        <w:br w:type="page"/>
      </w:r>
    </w:p>
    <w:p w14:paraId="6BD7FC35" w14:textId="77777777" w:rsidR="00F61005" w:rsidRDefault="00F61005" w:rsidP="00F61005">
      <w:pPr>
        <w:pStyle w:val="-question"/>
      </w:pPr>
    </w:p>
    <w:p w14:paraId="16E08AE8" w14:textId="3230D070" w:rsidR="00F61005" w:rsidRDefault="00F61005" w:rsidP="00F61005">
      <w:r>
        <w:t>- Réaliser un schéma légendé de cet objet déformé. Une observation attentive et un vocabulaire précis sont attendus, aucune roche ou minéral n’est à identifier.</w:t>
      </w:r>
    </w:p>
    <w:p w14:paraId="3F651CC5" w14:textId="2019A2D0" w:rsidR="009C2C75" w:rsidRDefault="00A7412E" w:rsidP="00A7412E">
      <w:pPr>
        <w:pStyle w:val="-rponse"/>
      </w:pPr>
      <w:r>
        <w:t xml:space="preserve">On observe un </w:t>
      </w:r>
      <w:r w:rsidRPr="005A5CCD">
        <w:rPr>
          <w:u w:val="single" w:color="C00000"/>
        </w:rPr>
        <w:t>pli</w:t>
      </w:r>
      <w:r>
        <w:t>.</w:t>
      </w:r>
      <w:r w:rsidR="009C2C75">
        <w:t xml:space="preserve"> </w:t>
      </w:r>
      <w:r w:rsidR="009C2C75" w:rsidRPr="009C2C75">
        <w:t>La couche supérieure ne montre qu'un pli avec une charnière unique. Les couches plus internes montrent deux charnières</w:t>
      </w:r>
      <w:r w:rsidR="009C2C75">
        <w:t>.</w:t>
      </w:r>
      <w:r w:rsidR="00DB3F6A">
        <w:t xml:space="preserve"> </w:t>
      </w:r>
      <w:proofErr w:type="gramStart"/>
      <w:r w:rsidR="00DB3F6A">
        <w:t>Le plis</w:t>
      </w:r>
      <w:proofErr w:type="gramEnd"/>
      <w:r w:rsidR="00DB3F6A">
        <w:t xml:space="preserve"> semble </w:t>
      </w:r>
      <w:proofErr w:type="spellStart"/>
      <w:r w:rsidR="00DB3F6A">
        <w:t>anisopaque</w:t>
      </w:r>
      <w:proofErr w:type="spellEnd"/>
      <w:r w:rsidR="00DB3F6A">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889"/>
        <w:gridCol w:w="4889"/>
      </w:tblGrid>
      <w:tr w:rsidR="00C94EC8" w14:paraId="39EE0FFC" w14:textId="77777777" w:rsidTr="00C94EC8">
        <w:tc>
          <w:tcPr>
            <w:tcW w:w="4889" w:type="dxa"/>
            <w:vAlign w:val="center"/>
          </w:tcPr>
          <w:p w14:paraId="0A0B3814" w14:textId="04DDE77A" w:rsidR="00C94EC8" w:rsidRDefault="00C94EC8" w:rsidP="00C94EC8">
            <w:pPr>
              <w:pStyle w:val="-rponse"/>
              <w:jc w:val="center"/>
            </w:pPr>
            <w:r>
              <w:rPr>
                <w:noProof/>
              </w:rPr>
              <w:drawing>
                <wp:inline distT="0" distB="0" distL="0" distR="0" wp14:anchorId="5005E7EB" wp14:editId="4B2774BB">
                  <wp:extent cx="3028621" cy="2196000"/>
                  <wp:effectExtent l="0" t="0" r="635" b="0"/>
                  <wp:docPr id="4633167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621" cy="2196000"/>
                          </a:xfrm>
                          <a:prstGeom prst="rect">
                            <a:avLst/>
                          </a:prstGeom>
                          <a:noFill/>
                          <a:ln>
                            <a:noFill/>
                          </a:ln>
                        </pic:spPr>
                      </pic:pic>
                    </a:graphicData>
                  </a:graphic>
                </wp:inline>
              </w:drawing>
            </w:r>
          </w:p>
        </w:tc>
        <w:tc>
          <w:tcPr>
            <w:tcW w:w="4889" w:type="dxa"/>
            <w:vAlign w:val="center"/>
          </w:tcPr>
          <w:p w14:paraId="6B731B60" w14:textId="7AC41E27" w:rsidR="00C94EC8" w:rsidRDefault="00C94EC8" w:rsidP="00C94EC8">
            <w:pPr>
              <w:pStyle w:val="-rponse"/>
              <w:jc w:val="center"/>
            </w:pPr>
            <w:r>
              <w:rPr>
                <w:noProof/>
              </w:rPr>
              <w:drawing>
                <wp:inline distT="0" distB="0" distL="0" distR="0" wp14:anchorId="411AB31C" wp14:editId="262A9875">
                  <wp:extent cx="2647978" cy="2520000"/>
                  <wp:effectExtent l="0" t="0" r="0" b="0"/>
                  <wp:docPr id="178635420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78" cy="2520000"/>
                          </a:xfrm>
                          <a:prstGeom prst="rect">
                            <a:avLst/>
                          </a:prstGeom>
                          <a:noFill/>
                          <a:ln>
                            <a:noFill/>
                          </a:ln>
                        </pic:spPr>
                      </pic:pic>
                    </a:graphicData>
                  </a:graphic>
                </wp:inline>
              </w:drawing>
            </w:r>
          </w:p>
        </w:tc>
      </w:tr>
    </w:tbl>
    <w:p w14:paraId="2E8BF804" w14:textId="3F3DA8AB" w:rsidR="00F61005" w:rsidRDefault="00F61005" w:rsidP="00F61005">
      <w:r>
        <w:t>- Décrire et discuter des déformations à l'origine des structures observées.</w:t>
      </w:r>
    </w:p>
    <w:p w14:paraId="7316631B" w14:textId="3B02FB84" w:rsidR="00D17761" w:rsidRDefault="00D17761" w:rsidP="00D17761">
      <w:pPr>
        <w:pStyle w:val="-rponse"/>
      </w:pPr>
      <w:r>
        <w:t>Le volume de roche plissée subit des variations de longueurs différentes selon la position de la matière dans le volume plissé.</w:t>
      </w:r>
    </w:p>
    <w:p w14:paraId="003B5C20" w14:textId="582CFCB3" w:rsidR="009C2C75" w:rsidRDefault="00D17761" w:rsidP="00D17761">
      <w:pPr>
        <w:pStyle w:val="-rponse"/>
      </w:pPr>
      <w:r>
        <w:t>Par exemple, si la longueur</w:t>
      </w:r>
      <w:r w:rsidR="009C2C75" w:rsidRPr="009C2C75">
        <w:t xml:space="preserve"> de la face convexe (supérieure) ne change pas, alors la face concave (inférieure) doit "géométriquement" se raccourcir </w:t>
      </w:r>
      <w:r>
        <w:t>(2).</w:t>
      </w:r>
      <w:r w:rsidR="009C2C75" w:rsidRPr="009C2C75">
        <w:t xml:space="preserve"> Si on impose que l'épaisseur des couches ne varie pas (ou peu), ce raccourcissement </w:t>
      </w:r>
      <w:r>
        <w:t>p</w:t>
      </w:r>
      <w:r w:rsidR="009C2C75" w:rsidRPr="009C2C75">
        <w:t xml:space="preserve">our la face concave peut se réaliser </w:t>
      </w:r>
      <w:r>
        <w:t xml:space="preserve">par la formation de </w:t>
      </w:r>
      <w:r w:rsidR="009C2C75" w:rsidRPr="009C2C75">
        <w:t>microplis secondaires</w:t>
      </w:r>
      <w:r>
        <w:t xml:space="preserve">. </w:t>
      </w:r>
      <w:r w:rsidR="009C2C75" w:rsidRPr="009C2C75">
        <w:t xml:space="preserve">Ce comportement différent des différentes couches d'un même pli se nomme </w:t>
      </w:r>
      <w:r w:rsidR="009C2C75" w:rsidRPr="005A5CCD">
        <w:rPr>
          <w:u w:val="single" w:color="C00000"/>
        </w:rPr>
        <w:t>disharmonie</w:t>
      </w:r>
      <w:r w:rsidR="009C2C75" w:rsidRPr="009C2C75">
        <w:t>.</w:t>
      </w:r>
    </w:p>
    <w:p w14:paraId="56C15DE5" w14:textId="6C3CF63E" w:rsidR="00F07192" w:rsidRDefault="00A7412E" w:rsidP="00A7412E">
      <w:pPr>
        <w:pStyle w:val="-commentaire"/>
      </w:pPr>
      <w:r w:rsidRPr="00A7412E">
        <w:rPr>
          <w:b/>
          <w:bCs/>
          <w:u w:val="single" w:color="C00000"/>
        </w:rPr>
        <w:t>Commentaire</w:t>
      </w:r>
      <w:r>
        <w:t> : Énoncé pas clair vu les informations disponibles.</w:t>
      </w:r>
      <w:r w:rsidR="00DB3F6A">
        <w:t xml:space="preserve"> Le caractère </w:t>
      </w:r>
      <w:proofErr w:type="spellStart"/>
      <w:r w:rsidR="00DB3F6A">
        <w:t>Anisopaque</w:t>
      </w:r>
      <w:proofErr w:type="spellEnd"/>
      <w:r w:rsidR="00DB3F6A">
        <w:t xml:space="preserve"> n’est pas très évident à voir. </w:t>
      </w:r>
      <w:r>
        <w:t xml:space="preserve"> </w:t>
      </w:r>
      <w:r w:rsidR="00D17761">
        <w:t>Cette disharmonie sera très discriminante.</w:t>
      </w:r>
    </w:p>
    <w:p w14:paraId="38153BDD" w14:textId="77777777" w:rsidR="00F61005" w:rsidRDefault="00F61005" w:rsidP="00640F50">
      <w:pPr>
        <w:pStyle w:val="-question"/>
      </w:pPr>
    </w:p>
    <w:p w14:paraId="7BCAB75F" w14:textId="77777777" w:rsidR="00640F50" w:rsidRDefault="00640F50" w:rsidP="00640F50">
      <w:r>
        <w:t>- Définir les termes suivants : roche métamorphique, faciès métamorphique.</w:t>
      </w:r>
    </w:p>
    <w:p w14:paraId="32416901" w14:textId="152A3468" w:rsidR="00A73011" w:rsidRDefault="00A73011" w:rsidP="00A73011">
      <w:pPr>
        <w:pStyle w:val="-rponse"/>
      </w:pPr>
      <w:r w:rsidRPr="00A73011">
        <w:rPr>
          <w:u w:val="single"/>
        </w:rPr>
        <w:t>Roche métamorphique</w:t>
      </w:r>
      <w:r>
        <w:t> : roche issue de réactions minéralogiques d’un protolithe à la suite de variations de pressions et de températures subies par celui-ci</w:t>
      </w:r>
      <w:r w:rsidR="001C1325">
        <w:t xml:space="preserve"> à l’état solide</w:t>
      </w:r>
      <w:r>
        <w:t>. Les minéraux présents constituent un minimum thermodynamique du système chimique roche.</w:t>
      </w:r>
    </w:p>
    <w:p w14:paraId="1596ABB4" w14:textId="77777777" w:rsidR="00A73011" w:rsidRDefault="00A73011" w:rsidP="00A73011">
      <w:pPr>
        <w:pStyle w:val="-rponse"/>
      </w:pPr>
      <w:r w:rsidRPr="00A73011">
        <w:rPr>
          <w:u w:val="single"/>
        </w:rPr>
        <w:t>Faciès métamorphique</w:t>
      </w:r>
      <w:r>
        <w:t> : Un faciès métamorphique est défini thermodynamiquement par une gamme de Pression et de Température.</w:t>
      </w:r>
    </w:p>
    <w:p w14:paraId="5045D3CF" w14:textId="77777777" w:rsidR="00A73011" w:rsidRDefault="00A73011" w:rsidP="00A73011">
      <w:pPr>
        <w:pStyle w:val="-rponse"/>
      </w:pPr>
      <w:r>
        <w:t xml:space="preserve">Minéralogiquement, il est défini par un assemblage </w:t>
      </w:r>
      <w:proofErr w:type="spellStart"/>
      <w:r>
        <w:t>typomorphe</w:t>
      </w:r>
      <w:proofErr w:type="spellEnd"/>
      <w:r>
        <w:t>, c’est-à-dire un ensemble de minéraux appartenant à des roches différentes couvrant un large domaine de composition et formés dans la même gamme de Pression et Température.</w:t>
      </w:r>
    </w:p>
    <w:p w14:paraId="3FB2DFB4" w14:textId="5704B464" w:rsidR="00A73011" w:rsidRDefault="00A73011" w:rsidP="00A73011">
      <w:pPr>
        <w:pStyle w:val="-rponse"/>
      </w:pPr>
      <w:r>
        <w:t>Un faciès métamorphique ne fait pas référence à un type de roche unique</w:t>
      </w:r>
      <w:r w:rsidR="001C1325">
        <w:t xml:space="preserve"> ou un ensemble de roches</w:t>
      </w:r>
      <w:r>
        <w:t>.</w:t>
      </w:r>
    </w:p>
    <w:p w14:paraId="2AE9B65E" w14:textId="77777777" w:rsidR="00640F50" w:rsidRDefault="00640F50" w:rsidP="00640F50">
      <w:r>
        <w:t>- Décrire et nommer la roche photographiée dans le document 12, à gauche.</w:t>
      </w:r>
    </w:p>
    <w:p w14:paraId="703015C8" w14:textId="5B385DCE" w:rsidR="00A73011" w:rsidRDefault="0008047D" w:rsidP="00A73011">
      <w:pPr>
        <w:pStyle w:val="-rponse"/>
      </w:pPr>
      <w:r>
        <w:t xml:space="preserve">Roche présentant une orientation préférentielle horizontale : c’est une </w:t>
      </w:r>
      <w:r w:rsidRPr="005A5CCD">
        <w:rPr>
          <w:u w:val="single" w:color="C00000"/>
        </w:rPr>
        <w:t>roche métamorphique</w:t>
      </w:r>
      <w:r>
        <w:t>.</w:t>
      </w:r>
    </w:p>
    <w:p w14:paraId="1873224E" w14:textId="3D0BD879" w:rsidR="0008047D" w:rsidRDefault="0008047D" w:rsidP="00A73011">
      <w:pPr>
        <w:pStyle w:val="-rponse"/>
      </w:pPr>
      <w:r>
        <w:t xml:space="preserve">Roche présentant une majorité de minéraux bleu nuit = </w:t>
      </w:r>
      <w:r w:rsidRPr="005A5CCD">
        <w:rPr>
          <w:u w:val="single" w:color="C00000"/>
        </w:rPr>
        <w:t>glaucophane</w:t>
      </w:r>
      <w:r>
        <w:t xml:space="preserve"> et de minéraux rouge/roses compacts, déformés en amande = </w:t>
      </w:r>
      <w:r w:rsidRPr="005A5CCD">
        <w:rPr>
          <w:u w:val="single" w:color="C00000"/>
        </w:rPr>
        <w:t>grenats</w:t>
      </w:r>
      <w:r>
        <w:t>.</w:t>
      </w:r>
    </w:p>
    <w:p w14:paraId="5EA2CAAE" w14:textId="06687DCC" w:rsidR="0008047D" w:rsidRDefault="0008047D" w:rsidP="00A73011">
      <w:pPr>
        <w:pStyle w:val="-rponse"/>
      </w:pPr>
      <w:r w:rsidRPr="0008047D">
        <w:rPr>
          <w:u w:val="single"/>
        </w:rPr>
        <w:lastRenderedPageBreak/>
        <w:t>Bilan</w:t>
      </w:r>
      <w:r>
        <w:t xml:space="preserve"> : </w:t>
      </w:r>
      <w:r w:rsidRPr="005A5CCD">
        <w:rPr>
          <w:u w:val="single" w:color="C00000"/>
        </w:rPr>
        <w:t>La roche est un schiste bleu à grenat, appelée aussi glaucophanite</w:t>
      </w:r>
      <w:r>
        <w:t>.</w:t>
      </w:r>
      <w:r w:rsidR="00B12BB7">
        <w:t xml:space="preserve"> Son protolithe est une roche de la série basique (basalte ou gabbro).</w:t>
      </w:r>
    </w:p>
    <w:p w14:paraId="77905465" w14:textId="4EDB0A33" w:rsidR="00640F50" w:rsidRDefault="00640F50" w:rsidP="00640F50">
      <w:r>
        <w:t>- Situer approximativement, dans le document 13 de l’annexe A3, les limites du faciès métamorphique « schistes verts ».</w:t>
      </w:r>
    </w:p>
    <w:p w14:paraId="176326B5" w14:textId="6800594A" w:rsidR="00A73011" w:rsidRDefault="00C94EC8" w:rsidP="00C94EC8">
      <w:pPr>
        <w:pStyle w:val="-rponse"/>
        <w:jc w:val="center"/>
      </w:pPr>
      <w:r>
        <w:rPr>
          <w:noProof/>
        </w:rPr>
        <w:drawing>
          <wp:inline distT="0" distB="0" distL="0" distR="0" wp14:anchorId="2607B14C" wp14:editId="2C005E31">
            <wp:extent cx="3312238" cy="2340000"/>
            <wp:effectExtent l="0" t="0" r="2540" b="3175"/>
            <wp:docPr id="176828777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2238" cy="2340000"/>
                    </a:xfrm>
                    <a:prstGeom prst="rect">
                      <a:avLst/>
                    </a:prstGeom>
                    <a:noFill/>
                    <a:ln>
                      <a:noFill/>
                    </a:ln>
                  </pic:spPr>
                </pic:pic>
              </a:graphicData>
            </a:graphic>
          </wp:inline>
        </w:drawing>
      </w:r>
    </w:p>
    <w:p w14:paraId="0639BA89" w14:textId="52C83AD8" w:rsidR="00F61005" w:rsidRDefault="00640F50" w:rsidP="00640F50">
      <w:r>
        <w:t>- Exploiter le document 12 pour dessiner, sur le document 13 dans l’annexe A3, un chemin (</w:t>
      </w:r>
      <w:proofErr w:type="spellStart"/>
      <w:proofErr w:type="gramStart"/>
      <w:r>
        <w:t>P,T</w:t>
      </w:r>
      <w:proofErr w:type="gramEnd"/>
      <w:r>
        <w:t>,t</w:t>
      </w:r>
      <w:proofErr w:type="spellEnd"/>
      <w:r>
        <w:t>) légendé. Préciser le contexte géodynamique auquel il correspond. Le chemin, dessiné sur l’annexe, sera justifié dans la copie.</w:t>
      </w:r>
    </w:p>
    <w:p w14:paraId="1C11B236" w14:textId="77777777" w:rsidR="00E842C5" w:rsidRDefault="00E842C5" w:rsidP="00E842C5">
      <w:pPr>
        <w:pStyle w:val="-rponse"/>
      </w:pPr>
      <w:r>
        <w:t>La roche est majoritairement formée de glaucophane et de grenat.</w:t>
      </w:r>
    </w:p>
    <w:p w14:paraId="32970E60" w14:textId="360F0D4A" w:rsidR="00E842C5" w:rsidRDefault="00824176" w:rsidP="00E842C5">
      <w:pPr>
        <w:pStyle w:val="-rponse"/>
      </w:pPr>
      <w:r>
        <w:t xml:space="preserve">Le </w:t>
      </w:r>
      <w:r w:rsidRPr="00824176">
        <w:rPr>
          <w:u w:val="single" w:color="C00000"/>
        </w:rPr>
        <w:t>pic de métamorphisme de la roche</w:t>
      </w:r>
      <w:r>
        <w:t xml:space="preserve"> est représenté par le </w:t>
      </w:r>
      <w:r w:rsidRPr="00824176">
        <w:rPr>
          <w:u w:val="single" w:color="C00000"/>
        </w:rPr>
        <w:t>Grenat</w:t>
      </w:r>
      <w:r>
        <w:t>.</w:t>
      </w:r>
    </w:p>
    <w:p w14:paraId="6DEE7ADC" w14:textId="77777777" w:rsidR="00E842C5" w:rsidRDefault="00E842C5" w:rsidP="00E842C5">
      <w:pPr>
        <w:pStyle w:val="-rponse"/>
      </w:pPr>
      <w:r>
        <w:t xml:space="preserve">Le zoom montre un </w:t>
      </w:r>
      <w:r w:rsidRPr="00824176">
        <w:rPr>
          <w:u w:val="single" w:color="C00000"/>
        </w:rPr>
        <w:t>minéral vert à l’interface du glaucophane et du grenat</w:t>
      </w:r>
      <w:r>
        <w:t>. On propose une réaction minéralogique lorsque la roche a subi une décompression.</w:t>
      </w:r>
    </w:p>
    <w:p w14:paraId="73420687" w14:textId="77777777" w:rsidR="00824176" w:rsidRDefault="00824176" w:rsidP="00E842C5">
      <w:pPr>
        <w:pStyle w:val="-rponse"/>
      </w:pPr>
      <w:r w:rsidRPr="00824176">
        <w:rPr>
          <w:u w:val="single"/>
        </w:rPr>
        <w:t>Bilan</w:t>
      </w:r>
      <w:r>
        <w:t xml:space="preserve"> : La roche présente une </w:t>
      </w:r>
      <w:r w:rsidRPr="00824176">
        <w:rPr>
          <w:u w:val="single" w:color="C00000"/>
        </w:rPr>
        <w:t xml:space="preserve">réaction </w:t>
      </w:r>
      <w:proofErr w:type="spellStart"/>
      <w:r w:rsidRPr="00824176">
        <w:rPr>
          <w:u w:val="single" w:color="C00000"/>
        </w:rPr>
        <w:t>coronitique</w:t>
      </w:r>
      <w:proofErr w:type="spellEnd"/>
      <w:r>
        <w:t xml:space="preserve"> attestant de sa </w:t>
      </w:r>
      <w:r w:rsidRPr="00824176">
        <w:rPr>
          <w:u w:val="single" w:color="C00000"/>
        </w:rPr>
        <w:t>rétromorphose</w:t>
      </w:r>
      <w:r>
        <w:t xml:space="preserve">, </w:t>
      </w:r>
      <w:r w:rsidRPr="00824176">
        <w:rPr>
          <w:u w:val="single" w:color="C00000"/>
        </w:rPr>
        <w:t>du faciès éclogite au faciès schiste vert</w:t>
      </w:r>
      <w:r>
        <w:t>.</w:t>
      </w:r>
    </w:p>
    <w:p w14:paraId="3E4199C8" w14:textId="63E8C107" w:rsidR="00824176" w:rsidRDefault="00824176" w:rsidP="00E842C5">
      <w:pPr>
        <w:pStyle w:val="-rponse"/>
      </w:pPr>
      <w:r>
        <w:t xml:space="preserve">Elle ne contient pas d’Amphibole donc le trajet </w:t>
      </w:r>
      <w:proofErr w:type="gramStart"/>
      <w:r>
        <w:t>P,T</w:t>
      </w:r>
      <w:proofErr w:type="gramEnd"/>
      <w:r>
        <w:t>, t ne peut pas intégrer le faciès Amphibolite.</w:t>
      </w:r>
    </w:p>
    <w:p w14:paraId="2D5612A3" w14:textId="4A894E4A" w:rsidR="00F61005" w:rsidRDefault="00824176" w:rsidP="00824176">
      <w:pPr>
        <w:pStyle w:val="-rponse"/>
        <w:jc w:val="center"/>
      </w:pPr>
      <w:r>
        <w:rPr>
          <w:noProof/>
        </w:rPr>
        <w:drawing>
          <wp:inline distT="0" distB="0" distL="0" distR="0" wp14:anchorId="1B5808CE" wp14:editId="13F4A8E7">
            <wp:extent cx="4680000" cy="3307258"/>
            <wp:effectExtent l="0" t="0" r="6350" b="7620"/>
            <wp:docPr id="11720351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35199" name="Imag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80000" cy="3307258"/>
                    </a:xfrm>
                    <a:prstGeom prst="rect">
                      <a:avLst/>
                    </a:prstGeom>
                    <a:noFill/>
                    <a:ln>
                      <a:noFill/>
                    </a:ln>
                  </pic:spPr>
                </pic:pic>
              </a:graphicData>
            </a:graphic>
          </wp:inline>
        </w:drawing>
      </w:r>
    </w:p>
    <w:p w14:paraId="4CD267C2" w14:textId="1E7E7524" w:rsidR="00824176" w:rsidRDefault="00824176" w:rsidP="00824176">
      <w:pPr>
        <w:pStyle w:val="-rponse"/>
      </w:pPr>
      <w:r w:rsidRPr="00824176">
        <w:rPr>
          <w:u w:val="single"/>
        </w:rPr>
        <w:t>Titre</w:t>
      </w:r>
      <w:r>
        <w:t> : Trajet Pression, Température, temps de la roche</w:t>
      </w:r>
      <w:r w:rsidR="0021208F">
        <w:t xml:space="preserve"> </w:t>
      </w:r>
      <w:r w:rsidR="0021208F" w:rsidRPr="0021208F">
        <w:t>métamorphique récoltée sur l’île de Groix</w:t>
      </w:r>
    </w:p>
    <w:p w14:paraId="2CCDC141" w14:textId="77777777" w:rsidR="00824176" w:rsidRDefault="00824176">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rPr>
          <w:rFonts w:asciiTheme="minorHAnsi" w:hAnsiTheme="minorHAnsi" w:cstheme="minorHAnsi"/>
          <w:color w:val="2F5496" w:themeColor="accent1" w:themeShade="BF"/>
          <w:sz w:val="24"/>
        </w:rPr>
      </w:pPr>
      <w:r>
        <w:br w:type="page"/>
      </w:r>
    </w:p>
    <w:p w14:paraId="0F94F3B2" w14:textId="77777777" w:rsidR="00F61005" w:rsidRDefault="00F61005" w:rsidP="00640F50">
      <w:pPr>
        <w:pStyle w:val="-question"/>
      </w:pPr>
    </w:p>
    <w:p w14:paraId="473F9CFE" w14:textId="113F5BC1" w:rsidR="00640F50" w:rsidRDefault="00640F50" w:rsidP="00640F50">
      <w:r>
        <w:t>Proposer deux hypothèses expliquant la diversité des paragenèses observées sur l’île, en les justifiant à l’aide des documents 8 et 14 et des connaissances utiles.</w:t>
      </w:r>
    </w:p>
    <w:p w14:paraId="2CB7131D" w14:textId="77777777" w:rsidR="0021208F" w:rsidRDefault="0021208F" w:rsidP="0021208F">
      <w:pPr>
        <w:pStyle w:val="-rponse"/>
      </w:pPr>
      <w:r>
        <w:t>Le document 14 est une carte montrant l’</w:t>
      </w:r>
      <w:proofErr w:type="spellStart"/>
      <w:r>
        <w:t>isograde</w:t>
      </w:r>
      <w:proofErr w:type="spellEnd"/>
      <w:r>
        <w:t xml:space="preserve"> du Grenat (</w:t>
      </w:r>
      <w:proofErr w:type="spellStart"/>
      <w:r>
        <w:t>Grt</w:t>
      </w:r>
      <w:proofErr w:type="spellEnd"/>
      <w:r>
        <w:t>).</w:t>
      </w:r>
    </w:p>
    <w:p w14:paraId="3D6D219D" w14:textId="6066FED2" w:rsidR="00640F50" w:rsidRDefault="0021208F" w:rsidP="0021208F">
      <w:pPr>
        <w:pStyle w:val="-rponse"/>
      </w:pPr>
      <w:r>
        <w:t>À l’Est de cette ligne pointillée, les grenats sont observables dans les roches.</w:t>
      </w:r>
    </w:p>
    <w:p w14:paraId="4E737A6B" w14:textId="004489CC" w:rsidR="0021208F" w:rsidRDefault="0021208F" w:rsidP="0021208F">
      <w:pPr>
        <w:pStyle w:val="-rponse"/>
      </w:pPr>
      <w:r>
        <w:t>À l’Ouest de cette ligne pointillée, les grenats ne sont pas observables dans les roches.</w:t>
      </w:r>
    </w:p>
    <w:p w14:paraId="4C47B833" w14:textId="349D463B" w:rsidR="0021208F" w:rsidRDefault="0021208F" w:rsidP="0021208F">
      <w:pPr>
        <w:pStyle w:val="-rponse"/>
      </w:pPr>
      <w:r w:rsidRPr="0021208F">
        <w:rPr>
          <w:u w:val="single"/>
        </w:rPr>
        <w:t>Hypothèse 1</w:t>
      </w:r>
      <w:r>
        <w:t> : La partie Est de l’île a été enfouie plus profondément permettant d’atteindre les conditions Pression, Température nécessaires à l’existence du Grenat.</w:t>
      </w:r>
    </w:p>
    <w:p w14:paraId="704D2969" w14:textId="701FEDDA" w:rsidR="0021208F" w:rsidRDefault="0021208F" w:rsidP="0021208F">
      <w:pPr>
        <w:pStyle w:val="-rponse"/>
      </w:pPr>
      <w:r w:rsidRPr="0021208F">
        <w:rPr>
          <w:u w:val="single"/>
        </w:rPr>
        <w:t xml:space="preserve">Hypothèse </w:t>
      </w:r>
      <w:r>
        <w:rPr>
          <w:u w:val="single"/>
        </w:rPr>
        <w:t>2</w:t>
      </w:r>
      <w:r>
        <w:t> :</w:t>
      </w:r>
      <w:r w:rsidR="00B80D16">
        <w:t xml:space="preserve"> Le Glaucophane n’est présent que dans la partie Est de l’île. Des </w:t>
      </w:r>
      <w:proofErr w:type="spellStart"/>
      <w:r w:rsidR="00B80D16">
        <w:t>protolithes</w:t>
      </w:r>
      <w:proofErr w:type="spellEnd"/>
      <w:r w:rsidR="00B80D16">
        <w:t xml:space="preserve"> chimiquement différents entre l’Ouest et l’Est de l’île formeront, dans les mêmes conditions de Pression, Température, des minéraux différents.</w:t>
      </w:r>
    </w:p>
    <w:p w14:paraId="60F90FE4" w14:textId="77777777" w:rsidR="00450B6F" w:rsidRPr="006225AD" w:rsidRDefault="00450B6F" w:rsidP="006225AD"/>
    <w:sectPr w:rsidR="00450B6F" w:rsidRPr="006225AD" w:rsidSect="00EF46DE">
      <w:headerReference w:type="default" r:id="rId17"/>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BA1F2" w14:textId="77777777" w:rsidR="007D750D" w:rsidRDefault="007D750D" w:rsidP="00E67212">
      <w:pPr>
        <w:spacing w:line="240" w:lineRule="auto"/>
      </w:pPr>
      <w:r>
        <w:separator/>
      </w:r>
    </w:p>
  </w:endnote>
  <w:endnote w:type="continuationSeparator" w:id="0">
    <w:p w14:paraId="4DF8A87C" w14:textId="77777777" w:rsidR="007D750D" w:rsidRDefault="007D750D" w:rsidP="00E67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FC1D" w14:textId="0B2CD633" w:rsidR="00E67212" w:rsidRPr="00E67212" w:rsidRDefault="00E67212" w:rsidP="00E67212">
    <w:pPr>
      <w:pStyle w:val="Pieddepage"/>
      <w:jc w:val="right"/>
      <w:rPr>
        <w:sz w:val="16"/>
        <w:szCs w:val="16"/>
      </w:rPr>
    </w:pPr>
    <w:r w:rsidRPr="00E67212">
      <w:rPr>
        <w:sz w:val="16"/>
        <w:szCs w:val="16"/>
      </w:rPr>
      <w:t xml:space="preserve">Une contribution </w:t>
    </w:r>
    <w:r w:rsidRPr="00E67212">
      <w:rPr>
        <w:b/>
        <w:bCs/>
        <w:color w:val="00552A"/>
        <w:sz w:val="16"/>
        <w:szCs w:val="16"/>
      </w:rPr>
      <w:t>SVTSUP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C56EC" w14:textId="77777777" w:rsidR="007D750D" w:rsidRDefault="007D750D" w:rsidP="00E67212">
      <w:pPr>
        <w:spacing w:line="240" w:lineRule="auto"/>
      </w:pPr>
      <w:r>
        <w:separator/>
      </w:r>
    </w:p>
  </w:footnote>
  <w:footnote w:type="continuationSeparator" w:id="0">
    <w:p w14:paraId="02B70418" w14:textId="77777777" w:rsidR="007D750D" w:rsidRDefault="007D750D" w:rsidP="00E672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F5AE" w14:textId="3C970306" w:rsidR="00E67212" w:rsidRPr="00E67212" w:rsidRDefault="00E67212" w:rsidP="00E67212">
    <w:pPr>
      <w:pStyle w:val="En-tte"/>
      <w:jc w:val="right"/>
      <w:rPr>
        <w:sz w:val="16"/>
        <w:szCs w:val="16"/>
      </w:rPr>
    </w:pPr>
    <w:r w:rsidRPr="00E67212">
      <w:rPr>
        <w:sz w:val="16"/>
        <w:szCs w:val="16"/>
      </w:rPr>
      <w:fldChar w:fldCharType="begin"/>
    </w:r>
    <w:r w:rsidRPr="00E67212">
      <w:rPr>
        <w:sz w:val="16"/>
        <w:szCs w:val="16"/>
      </w:rPr>
      <w:instrText xml:space="preserve"> PAGE   \* MERGEFORMAT </w:instrText>
    </w:r>
    <w:r w:rsidRPr="00E67212">
      <w:rPr>
        <w:sz w:val="16"/>
        <w:szCs w:val="16"/>
      </w:rPr>
      <w:fldChar w:fldCharType="separate"/>
    </w:r>
    <w:r w:rsidR="004B237D">
      <w:rPr>
        <w:noProof/>
        <w:sz w:val="16"/>
        <w:szCs w:val="16"/>
      </w:rPr>
      <w:t>10</w:t>
    </w:r>
    <w:r w:rsidRPr="00E67212">
      <w:rPr>
        <w:sz w:val="16"/>
        <w:szCs w:val="16"/>
      </w:rPr>
      <w:fldChar w:fldCharType="end"/>
    </w:r>
    <w:r w:rsidRPr="00E67212">
      <w:rPr>
        <w:sz w:val="16"/>
        <w:szCs w:val="16"/>
      </w:rPr>
      <w:t> / </w:t>
    </w:r>
    <w:r w:rsidRPr="00E67212">
      <w:rPr>
        <w:sz w:val="16"/>
        <w:szCs w:val="16"/>
      </w:rPr>
      <w:fldChar w:fldCharType="begin"/>
    </w:r>
    <w:r w:rsidRPr="00E67212">
      <w:rPr>
        <w:sz w:val="16"/>
        <w:szCs w:val="16"/>
      </w:rPr>
      <w:instrText xml:space="preserve"> NUMPAGES   \* MERGEFORMAT </w:instrText>
    </w:r>
    <w:r w:rsidRPr="00E67212">
      <w:rPr>
        <w:sz w:val="16"/>
        <w:szCs w:val="16"/>
      </w:rPr>
      <w:fldChar w:fldCharType="separate"/>
    </w:r>
    <w:r w:rsidR="004B237D">
      <w:rPr>
        <w:noProof/>
        <w:sz w:val="16"/>
        <w:szCs w:val="16"/>
      </w:rPr>
      <w:t>10</w:t>
    </w:r>
    <w:r w:rsidRPr="00E67212">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93D1A"/>
    <w:multiLevelType w:val="multilevel"/>
    <w:tmpl w:val="47D644A0"/>
    <w:name w:val="-question"/>
    <w:lvl w:ilvl="0">
      <w:start w:val="1"/>
      <w:numFmt w:val="decimal"/>
      <w:pStyle w:val="-question"/>
      <w:suff w:val="space"/>
      <w:lvlText w:val="Question %1"/>
      <w:lvlJc w:val="left"/>
      <w:pPr>
        <w:ind w:left="851" w:firstLine="0"/>
      </w:pPr>
      <w:rPr>
        <w:rFonts w:hint="default"/>
        <w:b/>
        <w:bCs w:val="0"/>
        <w:u w:val="single"/>
      </w:rPr>
    </w:lvl>
    <w:lvl w:ilvl="1">
      <w:start w:val="1"/>
      <w:numFmt w:val="decimal"/>
      <w:lvlText w:val="%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77531046"/>
    <w:multiLevelType w:val="hybridMultilevel"/>
    <w:tmpl w:val="25802CEA"/>
    <w:lvl w:ilvl="0" w:tplc="FEB045D4">
      <w:start w:val="1"/>
      <w:numFmt w:val="bullet"/>
      <w:pStyle w:val="04-TPcapacits"/>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34225188">
    <w:abstractNumId w:val="0"/>
  </w:num>
  <w:num w:numId="2" w16cid:durableId="361443816">
    <w:abstractNumId w:val="0"/>
  </w:num>
  <w:num w:numId="3" w16cid:durableId="1350597942">
    <w:abstractNumId w:val="0"/>
  </w:num>
  <w:num w:numId="4" w16cid:durableId="157507206">
    <w:abstractNumId w:val="0"/>
  </w:num>
  <w:num w:numId="5" w16cid:durableId="73403581">
    <w:abstractNumId w:val="0"/>
  </w:num>
  <w:num w:numId="6" w16cid:durableId="1454788165">
    <w:abstractNumId w:val="0"/>
  </w:num>
  <w:num w:numId="7" w16cid:durableId="346637160">
    <w:abstractNumId w:val="0"/>
  </w:num>
  <w:num w:numId="8" w16cid:durableId="1611814662">
    <w:abstractNumId w:val="0"/>
  </w:num>
  <w:num w:numId="9" w16cid:durableId="869994593">
    <w:abstractNumId w:val="0"/>
  </w:num>
  <w:num w:numId="10" w16cid:durableId="2075421196">
    <w:abstractNumId w:val="0"/>
  </w:num>
  <w:num w:numId="11" w16cid:durableId="646321950">
    <w:abstractNumId w:val="0"/>
  </w:num>
  <w:num w:numId="12" w16cid:durableId="919631841">
    <w:abstractNumId w:val="0"/>
  </w:num>
  <w:num w:numId="13" w16cid:durableId="1107650962">
    <w:abstractNumId w:val="0"/>
  </w:num>
  <w:num w:numId="14" w16cid:durableId="1321302074">
    <w:abstractNumId w:val="0"/>
  </w:num>
  <w:num w:numId="15" w16cid:durableId="1600790776">
    <w:abstractNumId w:val="0"/>
  </w:num>
  <w:num w:numId="16" w16cid:durableId="1460496604">
    <w:abstractNumId w:val="0"/>
  </w:num>
  <w:num w:numId="17" w16cid:durableId="1196698923">
    <w:abstractNumId w:val="0"/>
  </w:num>
  <w:num w:numId="18" w16cid:durableId="570896090">
    <w:abstractNumId w:val="0"/>
  </w:num>
  <w:num w:numId="19" w16cid:durableId="1589653711">
    <w:abstractNumId w:val="0"/>
  </w:num>
  <w:num w:numId="20" w16cid:durableId="1272860149">
    <w:abstractNumId w:val="0"/>
  </w:num>
  <w:num w:numId="21" w16cid:durableId="1921677478">
    <w:abstractNumId w:val="0"/>
  </w:num>
  <w:num w:numId="22" w16cid:durableId="2145924318">
    <w:abstractNumId w:val="0"/>
  </w:num>
  <w:num w:numId="23" w16cid:durableId="557395165">
    <w:abstractNumId w:val="0"/>
  </w:num>
  <w:num w:numId="24" w16cid:durableId="1934582236">
    <w:abstractNumId w:val="0"/>
  </w:num>
  <w:num w:numId="25" w16cid:durableId="987245467">
    <w:abstractNumId w:val="0"/>
  </w:num>
  <w:num w:numId="26" w16cid:durableId="1285040484">
    <w:abstractNumId w:val="0"/>
  </w:num>
  <w:num w:numId="27" w16cid:durableId="863129922">
    <w:abstractNumId w:val="0"/>
  </w:num>
  <w:num w:numId="28" w16cid:durableId="477579638">
    <w:abstractNumId w:val="0"/>
  </w:num>
  <w:num w:numId="29" w16cid:durableId="937983882">
    <w:abstractNumId w:val="0"/>
  </w:num>
  <w:num w:numId="30" w16cid:durableId="380786800">
    <w:abstractNumId w:val="0"/>
  </w:num>
  <w:num w:numId="31" w16cid:durableId="1998075778">
    <w:abstractNumId w:val="0"/>
  </w:num>
  <w:num w:numId="32" w16cid:durableId="361365661">
    <w:abstractNumId w:val="0"/>
  </w:num>
  <w:num w:numId="33" w16cid:durableId="1999264132">
    <w:abstractNumId w:val="0"/>
  </w:num>
  <w:num w:numId="34" w16cid:durableId="664164538">
    <w:abstractNumId w:val="0"/>
  </w:num>
  <w:num w:numId="35" w16cid:durableId="1047992874">
    <w:abstractNumId w:val="0"/>
  </w:num>
  <w:num w:numId="36" w16cid:durableId="1746610094">
    <w:abstractNumId w:val="0"/>
  </w:num>
  <w:num w:numId="37" w16cid:durableId="1417287395">
    <w:abstractNumId w:val="0"/>
  </w:num>
  <w:num w:numId="38" w16cid:durableId="134956475">
    <w:abstractNumId w:val="0"/>
  </w:num>
  <w:num w:numId="39" w16cid:durableId="1088189032">
    <w:abstractNumId w:val="0"/>
  </w:num>
  <w:num w:numId="40" w16cid:durableId="606889519">
    <w:abstractNumId w:val="0"/>
  </w:num>
  <w:num w:numId="41" w16cid:durableId="654114952">
    <w:abstractNumId w:val="0"/>
  </w:num>
  <w:num w:numId="42" w16cid:durableId="710233025">
    <w:abstractNumId w:val="0"/>
  </w:num>
  <w:num w:numId="43" w16cid:durableId="1774133949">
    <w:abstractNumId w:val="0"/>
  </w:num>
  <w:num w:numId="44" w16cid:durableId="364989605">
    <w:abstractNumId w:val="0"/>
  </w:num>
  <w:num w:numId="45" w16cid:durableId="29846539">
    <w:abstractNumId w:val="0"/>
  </w:num>
  <w:num w:numId="46" w16cid:durableId="1087578890">
    <w:abstractNumId w:val="0"/>
  </w:num>
  <w:num w:numId="47" w16cid:durableId="697125767">
    <w:abstractNumId w:val="0"/>
  </w:num>
  <w:num w:numId="48" w16cid:durableId="904143542">
    <w:abstractNumId w:val="0"/>
  </w:num>
  <w:num w:numId="49" w16cid:durableId="823933884">
    <w:abstractNumId w:val="0"/>
  </w:num>
  <w:num w:numId="50" w16cid:durableId="1345327359">
    <w:abstractNumId w:val="0"/>
  </w:num>
  <w:num w:numId="51" w16cid:durableId="985860867">
    <w:abstractNumId w:val="0"/>
  </w:num>
  <w:num w:numId="52" w16cid:durableId="1738211684">
    <w:abstractNumId w:val="0"/>
  </w:num>
  <w:num w:numId="53" w16cid:durableId="848638376">
    <w:abstractNumId w:val="0"/>
  </w:num>
  <w:num w:numId="54" w16cid:durableId="95810166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4"/>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79C7"/>
    <w:rsid w:val="0001256E"/>
    <w:rsid w:val="00016FEF"/>
    <w:rsid w:val="00020960"/>
    <w:rsid w:val="00021B8D"/>
    <w:rsid w:val="00027B84"/>
    <w:rsid w:val="0005597E"/>
    <w:rsid w:val="0007121C"/>
    <w:rsid w:val="00076FAF"/>
    <w:rsid w:val="0008047D"/>
    <w:rsid w:val="0008705F"/>
    <w:rsid w:val="00092B0A"/>
    <w:rsid w:val="00093C45"/>
    <w:rsid w:val="000A4C70"/>
    <w:rsid w:val="000D00C6"/>
    <w:rsid w:val="000D63D7"/>
    <w:rsid w:val="000D7F28"/>
    <w:rsid w:val="00101AC6"/>
    <w:rsid w:val="00106C60"/>
    <w:rsid w:val="00111D22"/>
    <w:rsid w:val="00117ECF"/>
    <w:rsid w:val="001234EE"/>
    <w:rsid w:val="00126387"/>
    <w:rsid w:val="0012743F"/>
    <w:rsid w:val="001279C7"/>
    <w:rsid w:val="0014008A"/>
    <w:rsid w:val="001512C0"/>
    <w:rsid w:val="00160BA3"/>
    <w:rsid w:val="00162411"/>
    <w:rsid w:val="00166ECC"/>
    <w:rsid w:val="00170AD8"/>
    <w:rsid w:val="001726B6"/>
    <w:rsid w:val="001759B1"/>
    <w:rsid w:val="001821A0"/>
    <w:rsid w:val="001874A4"/>
    <w:rsid w:val="0019532C"/>
    <w:rsid w:val="001A4418"/>
    <w:rsid w:val="001A6CCD"/>
    <w:rsid w:val="001C060B"/>
    <w:rsid w:val="001C1325"/>
    <w:rsid w:val="001C29FF"/>
    <w:rsid w:val="001C5744"/>
    <w:rsid w:val="001D0778"/>
    <w:rsid w:val="001D1768"/>
    <w:rsid w:val="001D4041"/>
    <w:rsid w:val="001E2AFA"/>
    <w:rsid w:val="001E6F1D"/>
    <w:rsid w:val="001F1B14"/>
    <w:rsid w:val="001F7CF2"/>
    <w:rsid w:val="002078E1"/>
    <w:rsid w:val="00207D41"/>
    <w:rsid w:val="0021208F"/>
    <w:rsid w:val="00226E7F"/>
    <w:rsid w:val="002327C0"/>
    <w:rsid w:val="00240428"/>
    <w:rsid w:val="00253FF3"/>
    <w:rsid w:val="00256092"/>
    <w:rsid w:val="00270FE7"/>
    <w:rsid w:val="00272FFE"/>
    <w:rsid w:val="00276452"/>
    <w:rsid w:val="0028737A"/>
    <w:rsid w:val="00291BA1"/>
    <w:rsid w:val="00295840"/>
    <w:rsid w:val="002A2440"/>
    <w:rsid w:val="002A75D2"/>
    <w:rsid w:val="002B031D"/>
    <w:rsid w:val="002B6AF8"/>
    <w:rsid w:val="002E0ED7"/>
    <w:rsid w:val="002E6DFB"/>
    <w:rsid w:val="002F0D3F"/>
    <w:rsid w:val="002F13D3"/>
    <w:rsid w:val="002F64C2"/>
    <w:rsid w:val="00300EEF"/>
    <w:rsid w:val="0030362C"/>
    <w:rsid w:val="00304AAF"/>
    <w:rsid w:val="00314582"/>
    <w:rsid w:val="00320452"/>
    <w:rsid w:val="003218A5"/>
    <w:rsid w:val="003248EE"/>
    <w:rsid w:val="00333FE9"/>
    <w:rsid w:val="00334F5F"/>
    <w:rsid w:val="0034104D"/>
    <w:rsid w:val="00345D0B"/>
    <w:rsid w:val="003470C2"/>
    <w:rsid w:val="003558BB"/>
    <w:rsid w:val="00360010"/>
    <w:rsid w:val="00361F1A"/>
    <w:rsid w:val="00372170"/>
    <w:rsid w:val="00373AF4"/>
    <w:rsid w:val="0037574A"/>
    <w:rsid w:val="003917B4"/>
    <w:rsid w:val="003A0505"/>
    <w:rsid w:val="003A1C11"/>
    <w:rsid w:val="003B195E"/>
    <w:rsid w:val="003B2063"/>
    <w:rsid w:val="003B2A23"/>
    <w:rsid w:val="003B3F93"/>
    <w:rsid w:val="003D6F2C"/>
    <w:rsid w:val="003D72ED"/>
    <w:rsid w:val="003E484C"/>
    <w:rsid w:val="00405ECF"/>
    <w:rsid w:val="004120C0"/>
    <w:rsid w:val="00420EF5"/>
    <w:rsid w:val="00424D9E"/>
    <w:rsid w:val="00425E46"/>
    <w:rsid w:val="00432507"/>
    <w:rsid w:val="004377C2"/>
    <w:rsid w:val="00440727"/>
    <w:rsid w:val="00447567"/>
    <w:rsid w:val="00450B6F"/>
    <w:rsid w:val="00466165"/>
    <w:rsid w:val="00472233"/>
    <w:rsid w:val="004749AA"/>
    <w:rsid w:val="004779AE"/>
    <w:rsid w:val="00483EE3"/>
    <w:rsid w:val="00490880"/>
    <w:rsid w:val="004A0FC7"/>
    <w:rsid w:val="004A5C25"/>
    <w:rsid w:val="004B237D"/>
    <w:rsid w:val="004B59A7"/>
    <w:rsid w:val="004B7DFF"/>
    <w:rsid w:val="004C4C16"/>
    <w:rsid w:val="004D3F8A"/>
    <w:rsid w:val="004D4A66"/>
    <w:rsid w:val="004E3C2C"/>
    <w:rsid w:val="004E4939"/>
    <w:rsid w:val="004F673E"/>
    <w:rsid w:val="00501692"/>
    <w:rsid w:val="005155B6"/>
    <w:rsid w:val="00515FE0"/>
    <w:rsid w:val="0051709C"/>
    <w:rsid w:val="00520DAF"/>
    <w:rsid w:val="00535343"/>
    <w:rsid w:val="00537840"/>
    <w:rsid w:val="00540649"/>
    <w:rsid w:val="005628AC"/>
    <w:rsid w:val="0057534E"/>
    <w:rsid w:val="00581950"/>
    <w:rsid w:val="00591F1A"/>
    <w:rsid w:val="0059607E"/>
    <w:rsid w:val="005A5CCD"/>
    <w:rsid w:val="005A694F"/>
    <w:rsid w:val="005C50C7"/>
    <w:rsid w:val="005C6FAC"/>
    <w:rsid w:val="005C73DB"/>
    <w:rsid w:val="005D3743"/>
    <w:rsid w:val="00602543"/>
    <w:rsid w:val="0061109C"/>
    <w:rsid w:val="006122FA"/>
    <w:rsid w:val="00616367"/>
    <w:rsid w:val="006225AD"/>
    <w:rsid w:val="006254AF"/>
    <w:rsid w:val="00640F50"/>
    <w:rsid w:val="00664263"/>
    <w:rsid w:val="00666DF4"/>
    <w:rsid w:val="00671D08"/>
    <w:rsid w:val="0067654C"/>
    <w:rsid w:val="00680151"/>
    <w:rsid w:val="006872E6"/>
    <w:rsid w:val="006903AD"/>
    <w:rsid w:val="006933FA"/>
    <w:rsid w:val="00693D95"/>
    <w:rsid w:val="00697A1E"/>
    <w:rsid w:val="006B079E"/>
    <w:rsid w:val="006B3D91"/>
    <w:rsid w:val="006C0A14"/>
    <w:rsid w:val="006E43EB"/>
    <w:rsid w:val="006F3CE5"/>
    <w:rsid w:val="00700139"/>
    <w:rsid w:val="007017F6"/>
    <w:rsid w:val="00703D85"/>
    <w:rsid w:val="007216DA"/>
    <w:rsid w:val="00723F57"/>
    <w:rsid w:val="00735896"/>
    <w:rsid w:val="00735B69"/>
    <w:rsid w:val="00753F78"/>
    <w:rsid w:val="00760A9F"/>
    <w:rsid w:val="00767A06"/>
    <w:rsid w:val="00771810"/>
    <w:rsid w:val="00773D11"/>
    <w:rsid w:val="00781A5B"/>
    <w:rsid w:val="00796712"/>
    <w:rsid w:val="00797556"/>
    <w:rsid w:val="007A03CE"/>
    <w:rsid w:val="007A2ECF"/>
    <w:rsid w:val="007A5787"/>
    <w:rsid w:val="007B5FFB"/>
    <w:rsid w:val="007B7A74"/>
    <w:rsid w:val="007C6499"/>
    <w:rsid w:val="007D750D"/>
    <w:rsid w:val="007E1752"/>
    <w:rsid w:val="007F7703"/>
    <w:rsid w:val="0080098C"/>
    <w:rsid w:val="00824176"/>
    <w:rsid w:val="00837DCC"/>
    <w:rsid w:val="00846271"/>
    <w:rsid w:val="00856ED9"/>
    <w:rsid w:val="008570E6"/>
    <w:rsid w:val="00857F5A"/>
    <w:rsid w:val="00874CB8"/>
    <w:rsid w:val="00876077"/>
    <w:rsid w:val="00877C18"/>
    <w:rsid w:val="008879A4"/>
    <w:rsid w:val="00887C0A"/>
    <w:rsid w:val="008A1967"/>
    <w:rsid w:val="008A73CB"/>
    <w:rsid w:val="008C046E"/>
    <w:rsid w:val="008C160E"/>
    <w:rsid w:val="008C287E"/>
    <w:rsid w:val="008C3402"/>
    <w:rsid w:val="008C5519"/>
    <w:rsid w:val="008D752F"/>
    <w:rsid w:val="008E1352"/>
    <w:rsid w:val="008E1960"/>
    <w:rsid w:val="0090168A"/>
    <w:rsid w:val="00903EA5"/>
    <w:rsid w:val="0092008E"/>
    <w:rsid w:val="00921800"/>
    <w:rsid w:val="0093284B"/>
    <w:rsid w:val="00932E3F"/>
    <w:rsid w:val="00950DAD"/>
    <w:rsid w:val="00955215"/>
    <w:rsid w:val="0095703B"/>
    <w:rsid w:val="00996269"/>
    <w:rsid w:val="00997A78"/>
    <w:rsid w:val="00997AB9"/>
    <w:rsid w:val="00997BD6"/>
    <w:rsid w:val="009A1280"/>
    <w:rsid w:val="009B1D5D"/>
    <w:rsid w:val="009C0999"/>
    <w:rsid w:val="009C2C75"/>
    <w:rsid w:val="009E059C"/>
    <w:rsid w:val="009E5DE9"/>
    <w:rsid w:val="00A010F4"/>
    <w:rsid w:val="00A12B41"/>
    <w:rsid w:val="00A1754E"/>
    <w:rsid w:val="00A222D8"/>
    <w:rsid w:val="00A42C55"/>
    <w:rsid w:val="00A460DD"/>
    <w:rsid w:val="00A5396D"/>
    <w:rsid w:val="00A5568C"/>
    <w:rsid w:val="00A60393"/>
    <w:rsid w:val="00A70FA1"/>
    <w:rsid w:val="00A73011"/>
    <w:rsid w:val="00A7412E"/>
    <w:rsid w:val="00A764A9"/>
    <w:rsid w:val="00A76BE1"/>
    <w:rsid w:val="00A82680"/>
    <w:rsid w:val="00A83B32"/>
    <w:rsid w:val="00A91BDF"/>
    <w:rsid w:val="00A941A2"/>
    <w:rsid w:val="00AA1014"/>
    <w:rsid w:val="00AA40BA"/>
    <w:rsid w:val="00AB6580"/>
    <w:rsid w:val="00AC11EE"/>
    <w:rsid w:val="00AC3E64"/>
    <w:rsid w:val="00AD771B"/>
    <w:rsid w:val="00AE0D92"/>
    <w:rsid w:val="00AE1D1A"/>
    <w:rsid w:val="00AE27D0"/>
    <w:rsid w:val="00AF211B"/>
    <w:rsid w:val="00B008E9"/>
    <w:rsid w:val="00B04528"/>
    <w:rsid w:val="00B12BB7"/>
    <w:rsid w:val="00B16441"/>
    <w:rsid w:val="00B16981"/>
    <w:rsid w:val="00B24A83"/>
    <w:rsid w:val="00B66F75"/>
    <w:rsid w:val="00B6735D"/>
    <w:rsid w:val="00B71AD1"/>
    <w:rsid w:val="00B80A48"/>
    <w:rsid w:val="00B80D16"/>
    <w:rsid w:val="00B84E12"/>
    <w:rsid w:val="00B861E1"/>
    <w:rsid w:val="00B9698A"/>
    <w:rsid w:val="00BA0826"/>
    <w:rsid w:val="00BA4C5C"/>
    <w:rsid w:val="00BB3A94"/>
    <w:rsid w:val="00BB3B00"/>
    <w:rsid w:val="00BB42F9"/>
    <w:rsid w:val="00BD0951"/>
    <w:rsid w:val="00BE64D0"/>
    <w:rsid w:val="00BE7A87"/>
    <w:rsid w:val="00BF3046"/>
    <w:rsid w:val="00BF75FB"/>
    <w:rsid w:val="00C10774"/>
    <w:rsid w:val="00C14A15"/>
    <w:rsid w:val="00C21F27"/>
    <w:rsid w:val="00C31582"/>
    <w:rsid w:val="00C414B2"/>
    <w:rsid w:val="00C43EA1"/>
    <w:rsid w:val="00C50457"/>
    <w:rsid w:val="00C53529"/>
    <w:rsid w:val="00C54EB6"/>
    <w:rsid w:val="00C56233"/>
    <w:rsid w:val="00C57CDD"/>
    <w:rsid w:val="00C64258"/>
    <w:rsid w:val="00C676AB"/>
    <w:rsid w:val="00C74CE7"/>
    <w:rsid w:val="00C87639"/>
    <w:rsid w:val="00C94EC8"/>
    <w:rsid w:val="00CB5A3B"/>
    <w:rsid w:val="00CD6D58"/>
    <w:rsid w:val="00CE3C0D"/>
    <w:rsid w:val="00D01454"/>
    <w:rsid w:val="00D04A3F"/>
    <w:rsid w:val="00D16D1F"/>
    <w:rsid w:val="00D17761"/>
    <w:rsid w:val="00D22742"/>
    <w:rsid w:val="00D33179"/>
    <w:rsid w:val="00D42107"/>
    <w:rsid w:val="00D4365F"/>
    <w:rsid w:val="00D44337"/>
    <w:rsid w:val="00D56E61"/>
    <w:rsid w:val="00D75DA7"/>
    <w:rsid w:val="00D77D92"/>
    <w:rsid w:val="00D81593"/>
    <w:rsid w:val="00D90323"/>
    <w:rsid w:val="00D91003"/>
    <w:rsid w:val="00DB342F"/>
    <w:rsid w:val="00DB3F6A"/>
    <w:rsid w:val="00DC2B65"/>
    <w:rsid w:val="00DD138B"/>
    <w:rsid w:val="00DD1472"/>
    <w:rsid w:val="00DD4F64"/>
    <w:rsid w:val="00DD621D"/>
    <w:rsid w:val="00DE1BF0"/>
    <w:rsid w:val="00DE54B3"/>
    <w:rsid w:val="00DE5B5C"/>
    <w:rsid w:val="00DF4506"/>
    <w:rsid w:val="00DF796B"/>
    <w:rsid w:val="00E02DD2"/>
    <w:rsid w:val="00E118E2"/>
    <w:rsid w:val="00E128BA"/>
    <w:rsid w:val="00E16066"/>
    <w:rsid w:val="00E3592A"/>
    <w:rsid w:val="00E47FFA"/>
    <w:rsid w:val="00E62455"/>
    <w:rsid w:val="00E64A60"/>
    <w:rsid w:val="00E67212"/>
    <w:rsid w:val="00E842C5"/>
    <w:rsid w:val="00E8707E"/>
    <w:rsid w:val="00E92311"/>
    <w:rsid w:val="00E97365"/>
    <w:rsid w:val="00E976D0"/>
    <w:rsid w:val="00EA1C07"/>
    <w:rsid w:val="00EA2EAF"/>
    <w:rsid w:val="00EA64E2"/>
    <w:rsid w:val="00EA764F"/>
    <w:rsid w:val="00EB3ACE"/>
    <w:rsid w:val="00EB44FF"/>
    <w:rsid w:val="00EC75A8"/>
    <w:rsid w:val="00ED6647"/>
    <w:rsid w:val="00EE3019"/>
    <w:rsid w:val="00EE5B4A"/>
    <w:rsid w:val="00EE6AA7"/>
    <w:rsid w:val="00EE7E79"/>
    <w:rsid w:val="00EF0AF0"/>
    <w:rsid w:val="00EF46DE"/>
    <w:rsid w:val="00EF6567"/>
    <w:rsid w:val="00EF6812"/>
    <w:rsid w:val="00F07192"/>
    <w:rsid w:val="00F10FBA"/>
    <w:rsid w:val="00F122A6"/>
    <w:rsid w:val="00F155DF"/>
    <w:rsid w:val="00F16E56"/>
    <w:rsid w:val="00F3398A"/>
    <w:rsid w:val="00F374D1"/>
    <w:rsid w:val="00F44430"/>
    <w:rsid w:val="00F61005"/>
    <w:rsid w:val="00F6202B"/>
    <w:rsid w:val="00F67DF2"/>
    <w:rsid w:val="00F74FAE"/>
    <w:rsid w:val="00F8083D"/>
    <w:rsid w:val="00F80E94"/>
    <w:rsid w:val="00F9007B"/>
    <w:rsid w:val="00F96849"/>
    <w:rsid w:val="00F97531"/>
    <w:rsid w:val="00FA2689"/>
    <w:rsid w:val="00FB72C5"/>
    <w:rsid w:val="00FD5C5A"/>
    <w:rsid w:val="00FE68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9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D0"/>
    <w:pPr>
      <w:tabs>
        <w:tab w:val="left" w:pos="567"/>
        <w:tab w:val="left" w:pos="1134"/>
        <w:tab w:val="left" w:pos="1701"/>
        <w:tab w:val="left" w:pos="2268"/>
        <w:tab w:val="left" w:pos="2835"/>
        <w:tab w:val="left" w:pos="3969"/>
        <w:tab w:val="left" w:pos="5103"/>
        <w:tab w:val="left" w:pos="6237"/>
        <w:tab w:val="left" w:pos="6804"/>
        <w:tab w:val="left" w:pos="7371"/>
        <w:tab w:val="left" w:pos="7938"/>
        <w:tab w:val="left" w:pos="8505"/>
        <w:tab w:val="left" w:pos="9072"/>
        <w:tab w:val="left" w:pos="9639"/>
        <w:tab w:val="left" w:pos="10206"/>
      </w:tabs>
      <w:spacing w:after="0"/>
      <w:jc w:val="both"/>
    </w:pPr>
    <w:rPr>
      <w:rFonts w:ascii="Arial" w:hAnsi="Arial"/>
    </w:rPr>
  </w:style>
  <w:style w:type="paragraph" w:styleId="Titre1">
    <w:name w:val="heading 1"/>
    <w:basedOn w:val="Normal"/>
    <w:next w:val="Normal"/>
    <w:link w:val="Titre1Car"/>
    <w:uiPriority w:val="9"/>
    <w:qFormat/>
    <w:rsid w:val="009A1280"/>
    <w:pPr>
      <w:spacing w:after="120"/>
      <w:contextualSpacing/>
      <w:jc w:val="center"/>
      <w:outlineLvl w:val="0"/>
    </w:pPr>
    <w:rPr>
      <w:b/>
      <w:bCs/>
      <w:sz w:val="24"/>
    </w:rPr>
  </w:style>
  <w:style w:type="paragraph" w:styleId="Titre2">
    <w:name w:val="heading 2"/>
    <w:basedOn w:val="Normal"/>
    <w:next w:val="Normal"/>
    <w:link w:val="Titre2Car"/>
    <w:uiPriority w:val="9"/>
    <w:unhideWhenUsed/>
    <w:qFormat/>
    <w:rsid w:val="00B9698A"/>
    <w:pPr>
      <w:spacing w:after="120"/>
      <w:contextualSpacing/>
      <w:jc w:val="cente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9607E"/>
    <w:pPr>
      <w:spacing w:line="240" w:lineRule="auto"/>
      <w:contextualSpacing/>
    </w:pPr>
    <w:rPr>
      <w:rFonts w:eastAsiaTheme="majorEastAsia" w:cstheme="minorHAnsi"/>
      <w:color w:val="404040" w:themeColor="text1" w:themeTint="BF"/>
      <w:kern w:val="28"/>
      <w:sz w:val="24"/>
      <w:szCs w:val="28"/>
      <w14:ligatures w14:val="historicalDiscretional"/>
    </w:rPr>
  </w:style>
  <w:style w:type="character" w:customStyle="1" w:styleId="TitreCar">
    <w:name w:val="Titre Car"/>
    <w:basedOn w:val="Policepardfaut"/>
    <w:link w:val="Titre"/>
    <w:uiPriority w:val="10"/>
    <w:rsid w:val="0059607E"/>
    <w:rPr>
      <w:rFonts w:ascii="Arial" w:eastAsiaTheme="majorEastAsia" w:hAnsi="Arial" w:cstheme="minorHAnsi"/>
      <w:color w:val="404040" w:themeColor="text1" w:themeTint="BF"/>
      <w:kern w:val="28"/>
      <w:sz w:val="24"/>
      <w:szCs w:val="28"/>
      <w14:ligatures w14:val="historicalDiscretional"/>
    </w:rPr>
  </w:style>
  <w:style w:type="character" w:customStyle="1" w:styleId="Titre1Car">
    <w:name w:val="Titre 1 Car"/>
    <w:basedOn w:val="Policepardfaut"/>
    <w:link w:val="Titre1"/>
    <w:uiPriority w:val="9"/>
    <w:rsid w:val="009A1280"/>
    <w:rPr>
      <w:rFonts w:ascii="Arial" w:hAnsi="Arial"/>
      <w:b/>
      <w:bCs/>
      <w:sz w:val="24"/>
    </w:rPr>
  </w:style>
  <w:style w:type="character" w:customStyle="1" w:styleId="Titre2Car">
    <w:name w:val="Titre 2 Car"/>
    <w:basedOn w:val="Policepardfaut"/>
    <w:link w:val="Titre2"/>
    <w:uiPriority w:val="9"/>
    <w:rsid w:val="00B9698A"/>
    <w:rPr>
      <w:rFonts w:ascii="Arial" w:hAnsi="Arial"/>
      <w:b/>
    </w:rPr>
  </w:style>
  <w:style w:type="paragraph" w:styleId="Corpsdetexte">
    <w:name w:val="Body Text"/>
    <w:basedOn w:val="Normal"/>
    <w:link w:val="CorpsdetexteCar"/>
    <w:uiPriority w:val="1"/>
    <w:qFormat/>
    <w:rsid w:val="0059607E"/>
    <w:pPr>
      <w:widowControl w:val="0"/>
      <w:autoSpaceDE w:val="0"/>
      <w:autoSpaceDN w:val="0"/>
      <w:spacing w:line="240" w:lineRule="auto"/>
      <w:jc w:val="left"/>
    </w:pPr>
    <w:rPr>
      <w:rFonts w:eastAsia="Arial" w:cs="Arial"/>
      <w:lang w:val="en-US"/>
    </w:rPr>
  </w:style>
  <w:style w:type="character" w:customStyle="1" w:styleId="CorpsdetexteCar">
    <w:name w:val="Corps de texte Car"/>
    <w:basedOn w:val="Policepardfaut"/>
    <w:link w:val="Corpsdetexte"/>
    <w:uiPriority w:val="1"/>
    <w:rsid w:val="0059607E"/>
    <w:rPr>
      <w:rFonts w:ascii="Arial" w:eastAsia="Arial" w:hAnsi="Arial" w:cs="Arial"/>
      <w:lang w:val="en-US"/>
    </w:rPr>
  </w:style>
  <w:style w:type="paragraph" w:styleId="Paragraphedeliste">
    <w:name w:val="List Paragraph"/>
    <w:basedOn w:val="Normal"/>
    <w:uiPriority w:val="1"/>
    <w:qFormat/>
    <w:rsid w:val="0059607E"/>
    <w:pPr>
      <w:widowControl w:val="0"/>
      <w:autoSpaceDE w:val="0"/>
      <w:autoSpaceDN w:val="0"/>
      <w:spacing w:line="252" w:lineRule="exact"/>
      <w:ind w:left="546" w:hanging="554"/>
      <w:jc w:val="left"/>
    </w:pPr>
    <w:rPr>
      <w:rFonts w:eastAsia="Arial" w:cs="Arial"/>
      <w:lang w:val="en-US"/>
    </w:rPr>
  </w:style>
  <w:style w:type="paragraph" w:customStyle="1" w:styleId="-question">
    <w:name w:val="-question"/>
    <w:basedOn w:val="Normal"/>
    <w:next w:val="Normal"/>
    <w:qFormat/>
    <w:rsid w:val="000D00C6"/>
    <w:pPr>
      <w:numPr>
        <w:numId w:val="1"/>
      </w:numPr>
      <w:spacing w:before="180"/>
    </w:pPr>
    <w:rPr>
      <w:bCs/>
    </w:rPr>
  </w:style>
  <w:style w:type="paragraph" w:customStyle="1" w:styleId="-rponse">
    <w:name w:val="-réponse"/>
    <w:basedOn w:val="Normal"/>
    <w:link w:val="-rponseCar"/>
    <w:qFormat/>
    <w:rsid w:val="008E1960"/>
    <w:pPr>
      <w:spacing w:after="120"/>
      <w:contextualSpacing/>
    </w:pPr>
    <w:rPr>
      <w:rFonts w:asciiTheme="minorHAnsi" w:hAnsiTheme="minorHAnsi" w:cstheme="minorHAnsi"/>
      <w:color w:val="2F5496" w:themeColor="accent1" w:themeShade="BF"/>
      <w:sz w:val="24"/>
    </w:rPr>
  </w:style>
  <w:style w:type="character" w:customStyle="1" w:styleId="-rponseCar">
    <w:name w:val="-réponse Car"/>
    <w:basedOn w:val="Policepardfaut"/>
    <w:link w:val="-rponse"/>
    <w:rsid w:val="008E1960"/>
    <w:rPr>
      <w:rFonts w:cstheme="minorHAnsi"/>
      <w:color w:val="2F5496" w:themeColor="accent1" w:themeShade="BF"/>
      <w:sz w:val="24"/>
    </w:rPr>
  </w:style>
  <w:style w:type="character" w:styleId="Textedelespacerserv">
    <w:name w:val="Placeholder Text"/>
    <w:basedOn w:val="Policepardfaut"/>
    <w:uiPriority w:val="99"/>
    <w:semiHidden/>
    <w:rsid w:val="00361F1A"/>
    <w:rPr>
      <w:color w:val="808080"/>
    </w:rPr>
  </w:style>
  <w:style w:type="paragraph" w:styleId="En-tte">
    <w:name w:val="header"/>
    <w:basedOn w:val="Normal"/>
    <w:link w:val="En-tt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character" w:customStyle="1" w:styleId="En-tteCar">
    <w:name w:val="En-tête Car"/>
    <w:basedOn w:val="Policepardfaut"/>
    <w:link w:val="En-tte"/>
    <w:uiPriority w:val="99"/>
    <w:rsid w:val="00E67212"/>
    <w:rPr>
      <w:rFonts w:ascii="Arial" w:hAnsi="Arial"/>
    </w:rPr>
  </w:style>
  <w:style w:type="paragraph" w:styleId="Pieddepage">
    <w:name w:val="footer"/>
    <w:basedOn w:val="Normal"/>
    <w:link w:val="Pieddepag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character" w:customStyle="1" w:styleId="PieddepageCar">
    <w:name w:val="Pied de page Car"/>
    <w:basedOn w:val="Policepardfaut"/>
    <w:link w:val="Pieddepage"/>
    <w:uiPriority w:val="99"/>
    <w:rsid w:val="00E67212"/>
    <w:rPr>
      <w:rFonts w:ascii="Arial" w:hAnsi="Arial"/>
    </w:rPr>
  </w:style>
  <w:style w:type="character" w:styleId="Marquedecommentaire">
    <w:name w:val="annotation reference"/>
    <w:basedOn w:val="Policepardfaut"/>
    <w:uiPriority w:val="99"/>
    <w:semiHidden/>
    <w:unhideWhenUsed/>
    <w:rsid w:val="00373AF4"/>
    <w:rPr>
      <w:sz w:val="16"/>
      <w:szCs w:val="16"/>
    </w:rPr>
  </w:style>
  <w:style w:type="paragraph" w:styleId="Commentaire">
    <w:name w:val="annotation text"/>
    <w:basedOn w:val="Normal"/>
    <w:link w:val="CommentaireCar"/>
    <w:uiPriority w:val="99"/>
    <w:semiHidden/>
    <w:unhideWhenUsed/>
    <w:rsid w:val="00373AF4"/>
    <w:pPr>
      <w:spacing w:line="240" w:lineRule="auto"/>
    </w:pPr>
    <w:rPr>
      <w:sz w:val="20"/>
      <w:szCs w:val="20"/>
    </w:rPr>
  </w:style>
  <w:style w:type="character" w:customStyle="1" w:styleId="CommentaireCar">
    <w:name w:val="Commentaire Car"/>
    <w:basedOn w:val="Policepardfaut"/>
    <w:link w:val="Commentaire"/>
    <w:uiPriority w:val="99"/>
    <w:semiHidden/>
    <w:rsid w:val="00373AF4"/>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73AF4"/>
    <w:rPr>
      <w:b/>
      <w:bCs/>
    </w:rPr>
  </w:style>
  <w:style w:type="character" w:customStyle="1" w:styleId="ObjetducommentaireCar">
    <w:name w:val="Objet du commentaire Car"/>
    <w:basedOn w:val="CommentaireCar"/>
    <w:link w:val="Objetducommentaire"/>
    <w:uiPriority w:val="99"/>
    <w:semiHidden/>
    <w:rsid w:val="00373AF4"/>
    <w:rPr>
      <w:rFonts w:ascii="Arial" w:hAnsi="Arial"/>
      <w:b/>
      <w:bCs/>
      <w:sz w:val="20"/>
      <w:szCs w:val="20"/>
    </w:rPr>
  </w:style>
  <w:style w:type="paragraph" w:styleId="Rvision">
    <w:name w:val="Revision"/>
    <w:hidden/>
    <w:uiPriority w:val="99"/>
    <w:semiHidden/>
    <w:rsid w:val="00373AF4"/>
    <w:pPr>
      <w:spacing w:after="0" w:line="240" w:lineRule="auto"/>
    </w:pPr>
    <w:rPr>
      <w:rFonts w:ascii="Arial" w:hAnsi="Arial"/>
    </w:rPr>
  </w:style>
  <w:style w:type="paragraph" w:customStyle="1" w:styleId="-commentaire">
    <w:name w:val="-commentaire"/>
    <w:basedOn w:val="Normal"/>
    <w:qFormat/>
    <w:rsid w:val="008C287E"/>
    <w:pPr>
      <w:pBdr>
        <w:left w:val="single" w:sz="6" w:space="4" w:color="2F5496" w:themeColor="accent1" w:themeShade="BF"/>
      </w:pBdr>
      <w:shd w:val="clear" w:color="auto" w:fill="F2F2F2" w:themeFill="background1" w:themeFillShade="F2"/>
      <w:ind w:left="567"/>
    </w:pPr>
    <w:rPr>
      <w:rFonts w:asciiTheme="minorHAnsi" w:hAnsiTheme="minorHAnsi" w:cstheme="minorHAnsi"/>
      <w:i/>
      <w:iCs/>
      <w:color w:val="2F5496" w:themeColor="accent1" w:themeShade="BF"/>
      <w:sz w:val="24"/>
      <w:szCs w:val="24"/>
    </w:rPr>
  </w:style>
  <w:style w:type="character" w:styleId="Lienhypertexte">
    <w:name w:val="Hyperlink"/>
    <w:basedOn w:val="Policepardfaut"/>
    <w:uiPriority w:val="99"/>
    <w:unhideWhenUsed/>
    <w:rsid w:val="00BB42F9"/>
    <w:rPr>
      <w:color w:val="0563C1" w:themeColor="hyperlink"/>
      <w:u w:val="single"/>
    </w:rPr>
  </w:style>
  <w:style w:type="character" w:customStyle="1" w:styleId="Mentionnonrsolue1">
    <w:name w:val="Mention non résolue1"/>
    <w:basedOn w:val="Policepardfaut"/>
    <w:uiPriority w:val="99"/>
    <w:semiHidden/>
    <w:unhideWhenUsed/>
    <w:rsid w:val="00BB42F9"/>
    <w:rPr>
      <w:color w:val="605E5C"/>
      <w:shd w:val="clear" w:color="auto" w:fill="E1DFDD"/>
    </w:rPr>
  </w:style>
  <w:style w:type="paragraph" w:styleId="Textedebulles">
    <w:name w:val="Balloon Text"/>
    <w:basedOn w:val="Normal"/>
    <w:link w:val="TextedebullesCar"/>
    <w:uiPriority w:val="99"/>
    <w:semiHidden/>
    <w:unhideWhenUsed/>
    <w:rsid w:val="0095703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703B"/>
    <w:rPr>
      <w:rFonts w:ascii="Tahoma" w:hAnsi="Tahoma" w:cs="Tahoma"/>
      <w:sz w:val="16"/>
      <w:szCs w:val="16"/>
    </w:rPr>
  </w:style>
  <w:style w:type="character" w:customStyle="1" w:styleId="Mentionnonrsolue2">
    <w:name w:val="Mention non résolue2"/>
    <w:basedOn w:val="Policepardfaut"/>
    <w:uiPriority w:val="99"/>
    <w:semiHidden/>
    <w:unhideWhenUsed/>
    <w:rsid w:val="00EE7E79"/>
    <w:rPr>
      <w:color w:val="605E5C"/>
      <w:shd w:val="clear" w:color="auto" w:fill="E1DFDD"/>
    </w:rPr>
  </w:style>
  <w:style w:type="table" w:styleId="Grilledutableau">
    <w:name w:val="Table Grid"/>
    <w:basedOn w:val="TableauNormal"/>
    <w:uiPriority w:val="39"/>
    <w:rsid w:val="00C50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2078E1"/>
    <w:rPr>
      <w:color w:val="605E5C"/>
      <w:shd w:val="clear" w:color="auto" w:fill="E1DFDD"/>
    </w:rPr>
  </w:style>
  <w:style w:type="paragraph" w:customStyle="1" w:styleId="04-TPcapacits">
    <w:name w:val="04-TP capacités"/>
    <w:basedOn w:val="Normal"/>
    <w:rsid w:val="004A5C25"/>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istan.ferroir.fr/index.php/2020/07/25/la-datation-par-concordia-discordia/"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lanet-terre.ens-lyon.fr/ressource/Groix-plages-erosion.x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2113</Words>
  <Characters>11625</Characters>
  <Application>Microsoft Office Word</Application>
  <DocSecurity>0</DocSecurity>
  <Lines>96</Lines>
  <Paragraphs>27</Paragraphs>
  <ScaleCrop>false</ScaleCrop>
  <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2025-10-01T10:27:00Z</dcterms:created>
  <dcterms:modified xsi:type="dcterms:W3CDTF">2025-10-01T10:27:00Z</dcterms:modified>
</cp:coreProperties>
</file>