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14C2" w14:textId="77777777" w:rsidR="008D66EA" w:rsidRPr="00723E55" w:rsidRDefault="00DC68F4">
      <w:pPr>
        <w:pStyle w:val="Titre"/>
        <w:rPr>
          <w:lang w:val="fr-FR"/>
        </w:rPr>
      </w:pPr>
      <w:r w:rsidRPr="00723E55">
        <w:rPr>
          <w:lang w:val="fr-FR"/>
        </w:rPr>
        <w:t>EPREUVE</w:t>
      </w:r>
      <w:r w:rsidRPr="00723E55">
        <w:rPr>
          <w:spacing w:val="-3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GEOLOGIE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:</w:t>
      </w:r>
    </w:p>
    <w:p w14:paraId="3FEA4E23" w14:textId="77777777" w:rsidR="008D66EA" w:rsidRPr="00723E55" w:rsidRDefault="008D66EA">
      <w:pPr>
        <w:pStyle w:val="Corpsdetexte"/>
        <w:spacing w:before="9"/>
        <w:rPr>
          <w:b/>
          <w:i w:val="0"/>
          <w:sz w:val="23"/>
          <w:lang w:val="fr-FR"/>
        </w:rPr>
      </w:pPr>
    </w:p>
    <w:p w14:paraId="7D47E9F4" w14:textId="09A2C388" w:rsidR="008D66EA" w:rsidRPr="00723E55" w:rsidRDefault="00DC68F4" w:rsidP="00601185">
      <w:pPr>
        <w:jc w:val="both"/>
        <w:rPr>
          <w:sz w:val="24"/>
          <w:lang w:val="fr-FR"/>
        </w:rPr>
      </w:pPr>
      <w:r w:rsidRPr="00723E55">
        <w:rPr>
          <w:b/>
          <w:sz w:val="24"/>
          <w:lang w:val="fr-FR"/>
        </w:rPr>
        <w:t>1)</w:t>
      </w:r>
      <w:r w:rsidRPr="00723E55">
        <w:rPr>
          <w:b/>
          <w:spacing w:val="40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Natures des bordures : failles normales à l’est et à l’ouest, discordance des</w:t>
      </w:r>
      <w:r w:rsidRPr="00723E55">
        <w:rPr>
          <w:spacing w:val="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sédiments</w:t>
      </w:r>
      <w:r w:rsidRPr="00723E55">
        <w:rPr>
          <w:spacing w:val="-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sur le socle</w:t>
      </w:r>
      <w:r w:rsidRPr="00723E55">
        <w:rPr>
          <w:spacing w:val="-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;</w:t>
      </w:r>
    </w:p>
    <w:p w14:paraId="4AE725E2" w14:textId="77777777" w:rsidR="008D66EA" w:rsidRPr="00723E55" w:rsidRDefault="00DC68F4">
      <w:pPr>
        <w:spacing w:before="4"/>
        <w:ind w:left="1403"/>
        <w:jc w:val="both"/>
        <w:rPr>
          <w:sz w:val="24"/>
          <w:lang w:val="fr-FR"/>
        </w:rPr>
      </w:pPr>
      <w:r>
        <w:rPr>
          <w:noProof/>
          <w:position w:val="-5"/>
        </w:rPr>
        <w:drawing>
          <wp:inline distT="0" distB="0" distL="0" distR="0" wp14:anchorId="6DB459D2" wp14:editId="3AE6C639">
            <wp:extent cx="140207" cy="18745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3E55">
        <w:rPr>
          <w:sz w:val="20"/>
          <w:lang w:val="fr-FR"/>
        </w:rPr>
        <w:t xml:space="preserve">  </w:t>
      </w:r>
      <w:r w:rsidRPr="00723E55">
        <w:rPr>
          <w:spacing w:val="-11"/>
          <w:sz w:val="20"/>
          <w:lang w:val="fr-FR"/>
        </w:rPr>
        <w:t xml:space="preserve"> </w:t>
      </w:r>
      <w:r w:rsidRPr="00723E55">
        <w:rPr>
          <w:sz w:val="24"/>
          <w:lang w:val="fr-FR"/>
        </w:rPr>
        <w:t>Dimension</w:t>
      </w:r>
      <w:r w:rsidRPr="00723E55">
        <w:rPr>
          <w:spacing w:val="9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du</w:t>
      </w:r>
      <w:r w:rsidRPr="00723E55">
        <w:rPr>
          <w:spacing w:val="10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bassin</w:t>
      </w:r>
      <w:r w:rsidRPr="00723E55">
        <w:rPr>
          <w:spacing w:val="10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avec</w:t>
      </w:r>
      <w:r w:rsidRPr="00723E55">
        <w:rPr>
          <w:spacing w:val="8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l’échelle</w:t>
      </w:r>
      <w:r w:rsidRPr="00723E55">
        <w:rPr>
          <w:spacing w:val="9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≈</w:t>
      </w:r>
      <w:r w:rsidRPr="00723E55">
        <w:rPr>
          <w:spacing w:val="1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100</w:t>
      </w:r>
      <w:r w:rsidRPr="00723E55">
        <w:rPr>
          <w:spacing w:val="10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km</w:t>
      </w:r>
      <w:r w:rsidRPr="00723E55">
        <w:rPr>
          <w:spacing w:val="10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de</w:t>
      </w:r>
      <w:r w:rsidRPr="00723E55">
        <w:rPr>
          <w:spacing w:val="9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long</w:t>
      </w:r>
      <w:r w:rsidRPr="00723E55">
        <w:rPr>
          <w:spacing w:val="8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(Nord-Sud)</w:t>
      </w:r>
      <w:r w:rsidRPr="00723E55">
        <w:rPr>
          <w:spacing w:val="9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et</w:t>
      </w:r>
      <w:r w:rsidRPr="00723E55">
        <w:rPr>
          <w:spacing w:val="1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≈</w:t>
      </w:r>
      <w:r w:rsidRPr="00723E55">
        <w:rPr>
          <w:spacing w:val="1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40</w:t>
      </w:r>
      <w:r w:rsidRPr="00723E55">
        <w:rPr>
          <w:spacing w:val="10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km</w:t>
      </w:r>
    </w:p>
    <w:p w14:paraId="20A52CD7" w14:textId="77777777" w:rsidR="008D66EA" w:rsidRPr="00723E55" w:rsidRDefault="00DC68F4">
      <w:pPr>
        <w:spacing w:before="18"/>
        <w:ind w:left="1763"/>
        <w:jc w:val="both"/>
        <w:rPr>
          <w:sz w:val="24"/>
          <w:lang w:val="fr-FR"/>
        </w:rPr>
      </w:pPr>
      <w:proofErr w:type="gramStart"/>
      <w:r w:rsidRPr="00723E55">
        <w:rPr>
          <w:sz w:val="24"/>
          <w:lang w:val="fr-FR"/>
        </w:rPr>
        <w:t>de</w:t>
      </w:r>
      <w:proofErr w:type="gramEnd"/>
      <w:r w:rsidRPr="00723E55">
        <w:rPr>
          <w:spacing w:val="-3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large</w:t>
      </w:r>
      <w:r w:rsidRPr="00723E55">
        <w:rPr>
          <w:spacing w:val="-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(Est-Ouest),</w:t>
      </w:r>
      <w:r w:rsidRPr="00723E55">
        <w:rPr>
          <w:spacing w:val="-3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bassin</w:t>
      </w:r>
      <w:r w:rsidRPr="00723E55">
        <w:rPr>
          <w:spacing w:val="-2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étroit</w:t>
      </w:r>
      <w:r w:rsidRPr="00723E55">
        <w:rPr>
          <w:spacing w:val="-2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et</w:t>
      </w:r>
      <w:r w:rsidRPr="00723E55">
        <w:rPr>
          <w:spacing w:val="-2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allongé</w:t>
      </w:r>
      <w:r w:rsidRPr="00723E55">
        <w:rPr>
          <w:spacing w:val="-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;</w:t>
      </w:r>
    </w:p>
    <w:p w14:paraId="7BB5F07F" w14:textId="77777777" w:rsidR="008D66EA" w:rsidRPr="00723E55" w:rsidRDefault="007406C8">
      <w:pPr>
        <w:spacing w:before="22" w:line="259" w:lineRule="auto"/>
        <w:ind w:left="1763" w:right="133" w:hanging="360"/>
        <w:jc w:val="both"/>
        <w:rPr>
          <w:sz w:val="24"/>
          <w:lang w:val="fr-FR"/>
        </w:rPr>
      </w:pPr>
      <w:r>
        <w:pict w14:anchorId="424F5924">
          <v:group id="docshapegroup1" o:spid="_x0000_s1026" alt="" style="position:absolute;left:0;text-align:left;margin-left:128.2pt;margin-top:61.6pt;width:11.05pt;height:30.5pt;z-index:15728640;mso-position-horizontal-relative:page" coordorigin="2564,1232" coordsize="221,6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7" type="#_x0000_t75" alt="" style="position:absolute;left:2563;top:1231;width:221;height:296">
              <v:imagedata r:id="rId6" o:title=""/>
            </v:shape>
            <v:shape id="docshape3" o:spid="_x0000_s1028" type="#_x0000_t75" alt="" style="position:absolute;left:2563;top:1546;width:221;height:296">
              <v:imagedata r:id="rId6" o:title=""/>
            </v:shape>
            <w10:wrap anchorx="page"/>
          </v:group>
        </w:pict>
      </w:r>
      <w:r w:rsidR="00DC68F4">
        <w:rPr>
          <w:noProof/>
          <w:position w:val="-5"/>
        </w:rPr>
        <w:drawing>
          <wp:inline distT="0" distB="0" distL="0" distR="0" wp14:anchorId="30B61F2D" wp14:editId="55D6CA40">
            <wp:extent cx="140207" cy="18745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8F4" w:rsidRPr="00723E55">
        <w:rPr>
          <w:sz w:val="20"/>
          <w:lang w:val="fr-FR"/>
        </w:rPr>
        <w:t xml:space="preserve">  </w:t>
      </w:r>
      <w:r w:rsidR="00DC68F4" w:rsidRPr="00723E55">
        <w:rPr>
          <w:spacing w:val="-11"/>
          <w:sz w:val="20"/>
          <w:lang w:val="fr-FR"/>
        </w:rPr>
        <w:t xml:space="preserve"> </w:t>
      </w:r>
      <w:r w:rsidR="00DC68F4" w:rsidRPr="00723E55">
        <w:rPr>
          <w:sz w:val="24"/>
          <w:lang w:val="fr-FR"/>
        </w:rPr>
        <w:t>Épaisseur</w:t>
      </w:r>
      <w:r w:rsidR="00DC68F4" w:rsidRPr="00723E55">
        <w:rPr>
          <w:spacing w:val="23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du</w:t>
      </w:r>
      <w:r w:rsidR="00DC68F4" w:rsidRPr="00723E55">
        <w:rPr>
          <w:spacing w:val="25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remplissage</w:t>
      </w:r>
      <w:r w:rsidR="00DC68F4" w:rsidRPr="00723E55">
        <w:rPr>
          <w:spacing w:val="24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marquée</w:t>
      </w:r>
      <w:r w:rsidR="00DC68F4" w:rsidRPr="00723E55">
        <w:rPr>
          <w:spacing w:val="23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par</w:t>
      </w:r>
      <w:r w:rsidR="00DC68F4" w:rsidRPr="00723E55">
        <w:rPr>
          <w:spacing w:val="24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les</w:t>
      </w:r>
      <w:r w:rsidR="00DC68F4" w:rsidRPr="00723E55">
        <w:rPr>
          <w:spacing w:val="25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isobathes</w:t>
      </w:r>
      <w:r w:rsidR="00DC68F4" w:rsidRPr="00723E55">
        <w:rPr>
          <w:spacing w:val="25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de</w:t>
      </w:r>
      <w:r w:rsidR="00DC68F4" w:rsidRPr="00723E55">
        <w:rPr>
          <w:spacing w:val="23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base</w:t>
      </w:r>
      <w:r w:rsidR="00DC68F4" w:rsidRPr="00723E55">
        <w:rPr>
          <w:spacing w:val="24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du</w:t>
      </w:r>
      <w:r w:rsidR="00DC68F4" w:rsidRPr="00723E55">
        <w:rPr>
          <w:spacing w:val="25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Cénozoïque,</w:t>
      </w:r>
      <w:r w:rsidR="00DC68F4" w:rsidRPr="00723E55">
        <w:rPr>
          <w:spacing w:val="-58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de 500 m max à l’est à plus de 2000 m à l’ouest, le bassin présente donc une</w:t>
      </w:r>
      <w:r w:rsidR="00DC68F4" w:rsidRPr="00723E55">
        <w:rPr>
          <w:spacing w:val="1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asymétrie</w:t>
      </w:r>
      <w:r w:rsidR="00DC68F4" w:rsidRPr="00723E55">
        <w:rPr>
          <w:spacing w:val="28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avec</w:t>
      </w:r>
      <w:r w:rsidR="00DC68F4" w:rsidRPr="00723E55">
        <w:rPr>
          <w:spacing w:val="30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la</w:t>
      </w:r>
      <w:r w:rsidR="00DC68F4" w:rsidRPr="00723E55">
        <w:rPr>
          <w:spacing w:val="29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faille</w:t>
      </w:r>
      <w:r w:rsidR="00DC68F4" w:rsidRPr="00723E55">
        <w:rPr>
          <w:spacing w:val="32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bordière</w:t>
      </w:r>
      <w:r w:rsidR="00DC68F4" w:rsidRPr="00723E55">
        <w:rPr>
          <w:spacing w:val="28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ouest</w:t>
      </w:r>
      <w:r w:rsidR="00DC68F4" w:rsidRPr="00723E55">
        <w:rPr>
          <w:spacing w:val="31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qui</w:t>
      </w:r>
      <w:r w:rsidR="00DC68F4" w:rsidRPr="00723E55">
        <w:rPr>
          <w:spacing w:val="30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a</w:t>
      </w:r>
      <w:r w:rsidR="00DC68F4" w:rsidRPr="00723E55">
        <w:rPr>
          <w:spacing w:val="30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plus</w:t>
      </w:r>
      <w:r w:rsidR="00DC68F4" w:rsidRPr="00723E55">
        <w:rPr>
          <w:spacing w:val="30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joué</w:t>
      </w:r>
      <w:r w:rsidR="00DC68F4" w:rsidRPr="00723E55">
        <w:rPr>
          <w:spacing w:val="30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que</w:t>
      </w:r>
      <w:r w:rsidR="00DC68F4" w:rsidRPr="00723E55">
        <w:rPr>
          <w:spacing w:val="30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la</w:t>
      </w:r>
      <w:r w:rsidR="00DC68F4" w:rsidRPr="00723E55">
        <w:rPr>
          <w:spacing w:val="29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faille</w:t>
      </w:r>
      <w:r w:rsidR="00DC68F4" w:rsidRPr="00723E55">
        <w:rPr>
          <w:spacing w:val="30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bordière</w:t>
      </w:r>
      <w:r w:rsidR="00DC68F4" w:rsidRPr="00723E55">
        <w:rPr>
          <w:spacing w:val="-58"/>
          <w:sz w:val="24"/>
          <w:lang w:val="fr-FR"/>
        </w:rPr>
        <w:t xml:space="preserve"> </w:t>
      </w:r>
      <w:r w:rsidR="00DC68F4" w:rsidRPr="00723E55">
        <w:rPr>
          <w:sz w:val="24"/>
          <w:lang w:val="fr-FR"/>
        </w:rPr>
        <w:t>est ;</w:t>
      </w:r>
    </w:p>
    <w:p w14:paraId="0DD8216A" w14:textId="4E25BC74" w:rsidR="008D66EA" w:rsidRPr="00723E55" w:rsidRDefault="00DC68F4">
      <w:pPr>
        <w:spacing w:before="13"/>
        <w:ind w:left="1763"/>
        <w:jc w:val="both"/>
        <w:rPr>
          <w:sz w:val="24"/>
          <w:lang w:val="fr-FR"/>
        </w:rPr>
      </w:pPr>
      <w:r w:rsidRPr="00723E55">
        <w:rPr>
          <w:sz w:val="24"/>
          <w:lang w:val="fr-FR"/>
        </w:rPr>
        <w:t>Type</w:t>
      </w:r>
      <w:r w:rsidRPr="00723E55">
        <w:rPr>
          <w:spacing w:val="-2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de</w:t>
      </w:r>
      <w:r w:rsidRPr="00723E55">
        <w:rPr>
          <w:spacing w:val="-2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bassin :</w:t>
      </w:r>
      <w:r w:rsidRPr="00723E55">
        <w:rPr>
          <w:spacing w:val="-1"/>
          <w:sz w:val="24"/>
          <w:lang w:val="fr-FR"/>
        </w:rPr>
        <w:t xml:space="preserve"> </w:t>
      </w:r>
      <w:r w:rsidR="00723E55">
        <w:rPr>
          <w:sz w:val="24"/>
          <w:lang w:val="fr-FR"/>
        </w:rPr>
        <w:t xml:space="preserve"> </w:t>
      </w:r>
      <w:r w:rsidR="00601185">
        <w:rPr>
          <w:sz w:val="24"/>
          <w:lang w:val="fr-FR"/>
        </w:rPr>
        <w:t>rift continental, fossé d’effondrement</w:t>
      </w:r>
    </w:p>
    <w:p w14:paraId="37869AED" w14:textId="235A98E3" w:rsidR="008D66EA" w:rsidRDefault="00DC68F4">
      <w:pPr>
        <w:spacing w:before="38" w:line="259" w:lineRule="auto"/>
        <w:ind w:left="1763" w:right="133"/>
        <w:jc w:val="both"/>
        <w:rPr>
          <w:sz w:val="24"/>
          <w:lang w:val="fr-FR"/>
        </w:rPr>
      </w:pPr>
      <w:r w:rsidRPr="00723E55">
        <w:rPr>
          <w:sz w:val="24"/>
          <w:lang w:val="fr-FR"/>
        </w:rPr>
        <w:t>Age des failles oligocène car il est affecté par les failles et les recoupe par</w:t>
      </w:r>
      <w:r w:rsidRPr="00723E55">
        <w:rPr>
          <w:spacing w:val="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endroit.</w:t>
      </w:r>
    </w:p>
    <w:p w14:paraId="36CD5963" w14:textId="77777777" w:rsidR="00601185" w:rsidRPr="00723E55" w:rsidRDefault="00601185">
      <w:pPr>
        <w:spacing w:before="38" w:line="259" w:lineRule="auto"/>
        <w:ind w:left="1763" w:right="133"/>
        <w:jc w:val="both"/>
        <w:rPr>
          <w:sz w:val="24"/>
          <w:lang w:val="fr-FR"/>
        </w:rPr>
      </w:pPr>
    </w:p>
    <w:p w14:paraId="566EDF8B" w14:textId="77777777" w:rsidR="008D66EA" w:rsidRPr="00723E55" w:rsidRDefault="00DC68F4">
      <w:pPr>
        <w:pStyle w:val="Titre1"/>
        <w:ind w:left="256" w:right="136" w:firstLine="0"/>
        <w:rPr>
          <w:lang w:val="fr-FR"/>
        </w:rPr>
      </w:pPr>
      <w:r w:rsidRPr="00723E55">
        <w:rPr>
          <w:b/>
          <w:lang w:val="fr-FR"/>
        </w:rPr>
        <w:t xml:space="preserve">2-3) </w:t>
      </w:r>
      <w:r w:rsidRPr="00723E55">
        <w:rPr>
          <w:lang w:val="fr-FR"/>
        </w:rPr>
        <w:t>La subsidence tectonique du bassin est d'environ 600 m (document 2). Le remplissage du</w:t>
      </w:r>
      <w:r w:rsidRPr="00723E55">
        <w:rPr>
          <w:spacing w:val="-57"/>
          <w:lang w:val="fr-FR"/>
        </w:rPr>
        <w:t xml:space="preserve"> </w:t>
      </w:r>
      <w:r w:rsidRPr="00723E55">
        <w:rPr>
          <w:lang w:val="fr-FR"/>
        </w:rPr>
        <w:t>bassin est de ≈ 1000 m de sédiments (document 1) ce qui correspond à la subsidence totale. Il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existe</w:t>
      </w:r>
      <w:r w:rsidRPr="00723E55">
        <w:rPr>
          <w:spacing w:val="11"/>
          <w:lang w:val="fr-FR"/>
        </w:rPr>
        <w:t xml:space="preserve"> </w:t>
      </w:r>
      <w:r w:rsidRPr="00723E55">
        <w:rPr>
          <w:lang w:val="fr-FR"/>
        </w:rPr>
        <w:t>donc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un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autre</w:t>
      </w:r>
      <w:r w:rsidRPr="00723E55">
        <w:rPr>
          <w:spacing w:val="14"/>
          <w:lang w:val="fr-FR"/>
        </w:rPr>
        <w:t xml:space="preserve"> </w:t>
      </w:r>
      <w:r w:rsidRPr="00723E55">
        <w:rPr>
          <w:lang w:val="fr-FR"/>
        </w:rPr>
        <w:t>type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subsidence</w:t>
      </w:r>
      <w:r w:rsidRPr="00723E55">
        <w:rPr>
          <w:spacing w:val="14"/>
          <w:lang w:val="fr-FR"/>
        </w:rPr>
        <w:t xml:space="preserve"> </w:t>
      </w:r>
      <w:r w:rsidRPr="00723E55">
        <w:rPr>
          <w:lang w:val="fr-FR"/>
        </w:rPr>
        <w:t>responsable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11"/>
          <w:lang w:val="fr-FR"/>
        </w:rPr>
        <w:t xml:space="preserve"> </w:t>
      </w:r>
      <w:r w:rsidRPr="00723E55">
        <w:rPr>
          <w:lang w:val="fr-FR"/>
        </w:rPr>
        <w:t>l’enfoncement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du</w:t>
      </w:r>
      <w:r w:rsidRPr="00723E55">
        <w:rPr>
          <w:spacing w:val="15"/>
          <w:lang w:val="fr-FR"/>
        </w:rPr>
        <w:t xml:space="preserve"> </w:t>
      </w:r>
      <w:r w:rsidRPr="00723E55">
        <w:rPr>
          <w:lang w:val="fr-FR"/>
        </w:rPr>
        <w:t>bassin</w:t>
      </w:r>
      <w:r w:rsidRPr="00723E55">
        <w:rPr>
          <w:spacing w:val="6"/>
          <w:lang w:val="fr-FR"/>
        </w:rPr>
        <w:t xml:space="preserve"> </w:t>
      </w:r>
      <w:r w:rsidRPr="00723E55">
        <w:rPr>
          <w:lang w:val="fr-FR"/>
        </w:rPr>
        <w:t>: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sans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doute</w:t>
      </w:r>
      <w:r w:rsidRPr="00723E55">
        <w:rPr>
          <w:spacing w:val="-58"/>
          <w:lang w:val="fr-FR"/>
        </w:rPr>
        <w:t xml:space="preserve"> </w:t>
      </w:r>
      <w:r w:rsidRPr="00723E55">
        <w:rPr>
          <w:lang w:val="fr-FR"/>
        </w:rPr>
        <w:t>la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subsidence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liée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au poids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des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sédiments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déposés.</w:t>
      </w:r>
    </w:p>
    <w:p w14:paraId="22D7A8AF" w14:textId="77777777" w:rsidR="008D66EA" w:rsidRPr="00723E55" w:rsidRDefault="008D66EA">
      <w:pPr>
        <w:pStyle w:val="Corpsdetexte"/>
        <w:spacing w:before="2"/>
        <w:rPr>
          <w:lang w:val="fr-FR"/>
        </w:rPr>
      </w:pPr>
    </w:p>
    <w:p w14:paraId="466F004A" w14:textId="77777777" w:rsidR="008D66EA" w:rsidRPr="00723E55" w:rsidRDefault="00DC68F4" w:rsidP="00601185">
      <w:pPr>
        <w:pStyle w:val="Titre1"/>
        <w:numPr>
          <w:ilvl w:val="0"/>
          <w:numId w:val="1"/>
        </w:numPr>
        <w:tabs>
          <w:tab w:val="left" w:pos="0"/>
        </w:tabs>
        <w:spacing w:line="256" w:lineRule="auto"/>
        <w:ind w:left="284" w:right="137" w:hanging="426"/>
        <w:jc w:val="both"/>
        <w:rPr>
          <w:lang w:val="fr-FR"/>
        </w:rPr>
      </w:pPr>
      <w:r w:rsidRPr="00723E55">
        <w:rPr>
          <w:lang w:val="fr-FR"/>
        </w:rPr>
        <w:t>Il y aurait une phase plus précoce dès le Paléocène : la subsidence a commencé avant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l'apparition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des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failles normales.</w:t>
      </w:r>
    </w:p>
    <w:p w14:paraId="40D298AE" w14:textId="77777777" w:rsidR="008D66EA" w:rsidRPr="00723E55" w:rsidRDefault="008D66EA" w:rsidP="00601185">
      <w:pPr>
        <w:pStyle w:val="Corpsdetexte"/>
        <w:tabs>
          <w:tab w:val="left" w:pos="0"/>
        </w:tabs>
        <w:ind w:left="284" w:hanging="426"/>
        <w:rPr>
          <w:sz w:val="21"/>
          <w:lang w:val="fr-FR"/>
        </w:rPr>
      </w:pPr>
    </w:p>
    <w:p w14:paraId="6A382B44" w14:textId="77777777" w:rsidR="008D66EA" w:rsidRPr="00723E55" w:rsidRDefault="00DC68F4" w:rsidP="00601185">
      <w:pPr>
        <w:pStyle w:val="Titre1"/>
        <w:numPr>
          <w:ilvl w:val="0"/>
          <w:numId w:val="1"/>
        </w:numPr>
        <w:tabs>
          <w:tab w:val="left" w:pos="0"/>
        </w:tabs>
        <w:spacing w:before="1" w:line="259" w:lineRule="auto"/>
        <w:ind w:left="284" w:right="133" w:hanging="426"/>
        <w:jc w:val="both"/>
        <w:rPr>
          <w:lang w:val="fr-FR"/>
        </w:rPr>
      </w:pPr>
      <w:r w:rsidRPr="00723E55">
        <w:rPr>
          <w:lang w:val="fr-FR"/>
        </w:rPr>
        <w:t>Le document 3a montre une roche détritique terrigène grossière (clastes de taille &gt; 2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mm).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C’est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un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conglomérat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(ou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grès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grossier)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localisé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à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l’ouest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du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bassin.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document 3b montre une roche détritique terrigène moins grossière (clastes visibles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mais de taille &lt; 2 mm). C’est un grès   localisé plus à l’est dans le bassin. Il existe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 xml:space="preserve">donc un </w:t>
      </w:r>
      <w:proofErr w:type="spellStart"/>
      <w:r w:rsidRPr="00723E55">
        <w:rPr>
          <w:lang w:val="fr-FR"/>
        </w:rPr>
        <w:t>granoclassement</w:t>
      </w:r>
      <w:proofErr w:type="spellEnd"/>
      <w:r w:rsidRPr="00723E55">
        <w:rPr>
          <w:lang w:val="fr-FR"/>
        </w:rPr>
        <w:t xml:space="preserve"> décroissant d’ouest en est (les roches ont le même âge) dû à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l’augmentation de la distance à la source des sédiments détritiques terrigènes, à savoir</w:t>
      </w:r>
      <w:r w:rsidRPr="00723E55">
        <w:rPr>
          <w:spacing w:val="-57"/>
          <w:lang w:val="fr-FR"/>
        </w:rPr>
        <w:t xml:space="preserve"> </w:t>
      </w:r>
      <w:r w:rsidRPr="00723E55">
        <w:rPr>
          <w:lang w:val="fr-FR"/>
        </w:rPr>
        <w:t>le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socle, surélevé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par le</w:t>
      </w:r>
      <w:r w:rsidRPr="00723E55">
        <w:rPr>
          <w:spacing w:val="-2"/>
          <w:lang w:val="fr-FR"/>
        </w:rPr>
        <w:t xml:space="preserve"> </w:t>
      </w:r>
      <w:r w:rsidRPr="00723E55">
        <w:rPr>
          <w:lang w:val="fr-FR"/>
        </w:rPr>
        <w:t>jeu de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la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faille bordière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ouest.</w:t>
      </w:r>
    </w:p>
    <w:p w14:paraId="7DAD1DAE" w14:textId="77777777" w:rsidR="008D66EA" w:rsidRPr="00723E55" w:rsidRDefault="008D66EA" w:rsidP="00601185">
      <w:pPr>
        <w:pStyle w:val="Corpsdetexte"/>
        <w:tabs>
          <w:tab w:val="left" w:pos="0"/>
        </w:tabs>
        <w:spacing w:before="3"/>
        <w:ind w:left="284" w:hanging="426"/>
        <w:rPr>
          <w:lang w:val="fr-FR"/>
        </w:rPr>
      </w:pPr>
    </w:p>
    <w:p w14:paraId="75589CEF" w14:textId="49CB0DEA" w:rsidR="008D66EA" w:rsidRDefault="00DC68F4" w:rsidP="00601185">
      <w:pPr>
        <w:pStyle w:val="Titre1"/>
        <w:numPr>
          <w:ilvl w:val="0"/>
          <w:numId w:val="1"/>
        </w:numPr>
        <w:tabs>
          <w:tab w:val="left" w:pos="0"/>
          <w:tab w:val="left" w:pos="1044"/>
        </w:tabs>
        <w:spacing w:line="259" w:lineRule="auto"/>
        <w:ind w:left="284" w:right="131" w:hanging="426"/>
        <w:jc w:val="both"/>
        <w:rPr>
          <w:lang w:val="fr-FR"/>
        </w:rPr>
      </w:pPr>
      <w:r w:rsidRPr="00723E55">
        <w:rPr>
          <w:lang w:val="fr-FR"/>
        </w:rPr>
        <w:t>Trois types de lithologies se succèdent : des dépôts détritiques terrigènes, des dépôts</w:t>
      </w:r>
      <w:r w:rsidRPr="00723E55">
        <w:rPr>
          <w:spacing w:val="1"/>
          <w:lang w:val="fr-FR"/>
        </w:rPr>
        <w:t xml:space="preserve"> </w:t>
      </w:r>
      <w:proofErr w:type="spellStart"/>
      <w:r w:rsidRPr="00723E55">
        <w:rPr>
          <w:lang w:val="fr-FR"/>
        </w:rPr>
        <w:t>calcaro</w:t>
      </w:r>
      <w:proofErr w:type="spellEnd"/>
      <w:r w:rsidRPr="00723E55">
        <w:rPr>
          <w:lang w:val="fr-FR"/>
        </w:rPr>
        <w:t>-détritiques et au sommet des dépôts argilo-calcaires. Cette évolution montre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 xml:space="preserve">donc une diminution de la part du </w:t>
      </w:r>
      <w:proofErr w:type="spellStart"/>
      <w:r w:rsidRPr="00723E55">
        <w:rPr>
          <w:lang w:val="fr-FR"/>
        </w:rPr>
        <w:t>détritisme</w:t>
      </w:r>
      <w:proofErr w:type="spellEnd"/>
      <w:r w:rsidRPr="00723E55">
        <w:rPr>
          <w:lang w:val="fr-FR"/>
        </w:rPr>
        <w:t xml:space="preserve"> grossier et une augmentation relative de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la fraction carbonatée au cours du temps. Trois paramètres conditionnent les types de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dépôts dans un bassin : la subsidence ici constante depuis l’Oligocène (voir document</w:t>
      </w:r>
      <w:r w:rsidRPr="00723E55">
        <w:rPr>
          <w:spacing w:val="-57"/>
          <w:lang w:val="fr-FR"/>
        </w:rPr>
        <w:t xml:space="preserve"> </w:t>
      </w:r>
      <w:r w:rsidRPr="00723E55">
        <w:rPr>
          <w:lang w:val="fr-FR"/>
        </w:rPr>
        <w:t>2), les variations eustatiques (mais le bassin est principalement lacustre) et les apports</w:t>
      </w:r>
      <w:r w:rsidRPr="00723E55">
        <w:rPr>
          <w:spacing w:val="-57"/>
          <w:lang w:val="fr-FR"/>
        </w:rPr>
        <w:t xml:space="preserve"> </w:t>
      </w:r>
      <w:r w:rsidRPr="00723E55">
        <w:rPr>
          <w:lang w:val="fr-FR"/>
        </w:rPr>
        <w:t>sédimentaires.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seul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paramètre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expliquant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les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observations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précédentes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est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la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diminution des apports détritiques au bassin dont l’origine serait l’érosion progressive</w:t>
      </w:r>
      <w:r w:rsidRPr="00723E55">
        <w:rPr>
          <w:spacing w:val="-57"/>
          <w:lang w:val="fr-FR"/>
        </w:rPr>
        <w:t xml:space="preserve"> </w:t>
      </w:r>
      <w:r w:rsidRPr="00723E55">
        <w:rPr>
          <w:lang w:val="fr-FR"/>
        </w:rPr>
        <w:t>des</w:t>
      </w:r>
      <w:r w:rsidRPr="00723E55">
        <w:rPr>
          <w:spacing w:val="-2"/>
          <w:lang w:val="fr-FR"/>
        </w:rPr>
        <w:t xml:space="preserve"> </w:t>
      </w:r>
      <w:r w:rsidRPr="00723E55">
        <w:rPr>
          <w:lang w:val="fr-FR"/>
        </w:rPr>
        <w:t>épaules du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rift.</w:t>
      </w:r>
    </w:p>
    <w:p w14:paraId="0DE19D42" w14:textId="77777777" w:rsidR="00601185" w:rsidRPr="00723E55" w:rsidRDefault="00601185" w:rsidP="00601185">
      <w:pPr>
        <w:pStyle w:val="Titre1"/>
        <w:tabs>
          <w:tab w:val="left" w:pos="0"/>
          <w:tab w:val="left" w:pos="1044"/>
        </w:tabs>
        <w:spacing w:line="259" w:lineRule="auto"/>
        <w:ind w:right="131"/>
        <w:jc w:val="left"/>
        <w:rPr>
          <w:lang w:val="fr-FR"/>
        </w:rPr>
      </w:pPr>
    </w:p>
    <w:p w14:paraId="321EFEBE" w14:textId="518A3BAB" w:rsidR="008D66EA" w:rsidRDefault="00DC68F4" w:rsidP="00601185">
      <w:pPr>
        <w:pStyle w:val="Titre1"/>
        <w:numPr>
          <w:ilvl w:val="0"/>
          <w:numId w:val="1"/>
        </w:numPr>
        <w:tabs>
          <w:tab w:val="left" w:pos="0"/>
          <w:tab w:val="left" w:pos="1044"/>
        </w:tabs>
        <w:spacing w:before="72" w:line="259" w:lineRule="auto"/>
        <w:ind w:left="284" w:right="132" w:hanging="426"/>
        <w:jc w:val="both"/>
        <w:rPr>
          <w:lang w:val="fr-FR"/>
        </w:rPr>
      </w:pPr>
      <w:r w:rsidRPr="00723E55">
        <w:rPr>
          <w:lang w:val="fr-FR"/>
        </w:rPr>
        <w:t>Points communs possibles : zone d’accumulation sédimentaire, zone de subsidence,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présence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failles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normales,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présence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blocs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basculés,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formation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en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contexte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extensif... Différences possibles : ce bassin n’est pas océanique, extension plus faible,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pas</w:t>
      </w:r>
      <w:r w:rsidRPr="00723E55">
        <w:rPr>
          <w:spacing w:val="-2"/>
          <w:lang w:val="fr-FR"/>
        </w:rPr>
        <w:t xml:space="preserve"> </w:t>
      </w:r>
      <w:r w:rsidRPr="00723E55">
        <w:rPr>
          <w:lang w:val="fr-FR"/>
        </w:rPr>
        <w:t>de déchirure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continentale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ici,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taux</w:t>
      </w:r>
      <w:r w:rsidRPr="00723E55">
        <w:rPr>
          <w:spacing w:val="2"/>
          <w:lang w:val="fr-FR"/>
        </w:rPr>
        <w:t xml:space="preserve"> </w:t>
      </w:r>
      <w:r w:rsidRPr="00723E55">
        <w:rPr>
          <w:lang w:val="fr-FR"/>
        </w:rPr>
        <w:t>d’amincissement plus faible...</w:t>
      </w:r>
    </w:p>
    <w:p w14:paraId="3F2000CA" w14:textId="77777777" w:rsidR="00601185" w:rsidRPr="00723E55" w:rsidRDefault="00601185" w:rsidP="00601185">
      <w:pPr>
        <w:pStyle w:val="Titre1"/>
        <w:tabs>
          <w:tab w:val="left" w:pos="0"/>
          <w:tab w:val="left" w:pos="1044"/>
        </w:tabs>
        <w:spacing w:before="72" w:line="259" w:lineRule="auto"/>
        <w:ind w:left="-142" w:right="132" w:firstLine="0"/>
        <w:jc w:val="left"/>
        <w:rPr>
          <w:lang w:val="fr-FR"/>
        </w:rPr>
      </w:pPr>
    </w:p>
    <w:p w14:paraId="4D7735C7" w14:textId="77777777" w:rsidR="008D66EA" w:rsidRPr="00723E55" w:rsidRDefault="00DC68F4" w:rsidP="00601185">
      <w:pPr>
        <w:pStyle w:val="Titre1"/>
        <w:numPr>
          <w:ilvl w:val="0"/>
          <w:numId w:val="1"/>
        </w:numPr>
        <w:tabs>
          <w:tab w:val="left" w:pos="0"/>
          <w:tab w:val="left" w:pos="1044"/>
        </w:tabs>
        <w:spacing w:line="259" w:lineRule="auto"/>
        <w:ind w:left="284" w:right="134" w:hanging="426"/>
        <w:jc w:val="both"/>
        <w:rPr>
          <w:lang w:val="fr-FR"/>
        </w:rPr>
      </w:pPr>
      <w:r w:rsidRPr="00723E55">
        <w:rPr>
          <w:lang w:val="fr-FR"/>
        </w:rPr>
        <w:t>Les reliefs positifs visibles sont, en arrière-plan, les épaules du bassin et, dans le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bassin, une coulée volcanique. Leur formation nécessite la succession d’événements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suivante : formation du bassin et de ses épaules, remplissage sédimentaires, mise en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place d’une coulée dans une paléo-dépression, érosion différentielle entraînant cette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inversion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relief.</w:t>
      </w:r>
    </w:p>
    <w:p w14:paraId="7156F5AC" w14:textId="54EC03DA" w:rsidR="008D66EA" w:rsidRDefault="008D66EA" w:rsidP="00601185">
      <w:pPr>
        <w:pStyle w:val="Corpsdetexte"/>
        <w:tabs>
          <w:tab w:val="left" w:pos="0"/>
        </w:tabs>
        <w:spacing w:before="7"/>
        <w:ind w:left="284" w:hanging="426"/>
        <w:rPr>
          <w:i w:val="0"/>
          <w:sz w:val="23"/>
          <w:lang w:val="fr-FR"/>
        </w:rPr>
      </w:pPr>
    </w:p>
    <w:p w14:paraId="7D5CACD1" w14:textId="675EB9F8" w:rsidR="00601185" w:rsidRDefault="00601185" w:rsidP="00601185">
      <w:pPr>
        <w:pStyle w:val="Corpsdetexte"/>
        <w:tabs>
          <w:tab w:val="left" w:pos="0"/>
        </w:tabs>
        <w:spacing w:before="7"/>
        <w:ind w:left="284" w:hanging="426"/>
        <w:rPr>
          <w:i w:val="0"/>
          <w:sz w:val="23"/>
          <w:lang w:val="fr-FR"/>
        </w:rPr>
      </w:pPr>
    </w:p>
    <w:p w14:paraId="38115C99" w14:textId="0D1A3CF1" w:rsidR="00601185" w:rsidRDefault="00601185" w:rsidP="00601185">
      <w:pPr>
        <w:pStyle w:val="Corpsdetexte"/>
        <w:tabs>
          <w:tab w:val="left" w:pos="0"/>
        </w:tabs>
        <w:spacing w:before="7"/>
        <w:ind w:left="284" w:hanging="426"/>
        <w:rPr>
          <w:i w:val="0"/>
          <w:sz w:val="23"/>
          <w:lang w:val="fr-FR"/>
        </w:rPr>
      </w:pPr>
    </w:p>
    <w:p w14:paraId="42A0977B" w14:textId="25E030C9" w:rsidR="00601185" w:rsidRDefault="00601185" w:rsidP="00601185">
      <w:pPr>
        <w:pStyle w:val="Corpsdetexte"/>
        <w:tabs>
          <w:tab w:val="left" w:pos="0"/>
        </w:tabs>
        <w:spacing w:before="7"/>
        <w:ind w:left="284" w:hanging="426"/>
        <w:rPr>
          <w:i w:val="0"/>
          <w:sz w:val="23"/>
          <w:lang w:val="fr-FR"/>
        </w:rPr>
      </w:pPr>
    </w:p>
    <w:p w14:paraId="24BC6676" w14:textId="6AB395BB" w:rsidR="00601185" w:rsidRDefault="00601185" w:rsidP="00601185">
      <w:pPr>
        <w:pStyle w:val="Corpsdetexte"/>
        <w:tabs>
          <w:tab w:val="left" w:pos="0"/>
        </w:tabs>
        <w:spacing w:before="7"/>
        <w:ind w:left="284" w:hanging="426"/>
        <w:rPr>
          <w:i w:val="0"/>
          <w:sz w:val="23"/>
          <w:lang w:val="fr-FR"/>
        </w:rPr>
      </w:pPr>
    </w:p>
    <w:p w14:paraId="0684111C" w14:textId="13912169" w:rsidR="00601185" w:rsidRDefault="00601185" w:rsidP="00601185">
      <w:pPr>
        <w:pStyle w:val="Corpsdetexte"/>
        <w:tabs>
          <w:tab w:val="left" w:pos="0"/>
        </w:tabs>
        <w:spacing w:before="7"/>
        <w:ind w:left="284" w:hanging="426"/>
        <w:rPr>
          <w:i w:val="0"/>
          <w:sz w:val="23"/>
          <w:lang w:val="fr-FR"/>
        </w:rPr>
      </w:pPr>
    </w:p>
    <w:p w14:paraId="41BB8280" w14:textId="77777777" w:rsidR="00601185" w:rsidRPr="00723E55" w:rsidRDefault="00601185" w:rsidP="00601185">
      <w:pPr>
        <w:pStyle w:val="Corpsdetexte"/>
        <w:tabs>
          <w:tab w:val="left" w:pos="0"/>
        </w:tabs>
        <w:spacing w:before="7"/>
        <w:ind w:left="284" w:hanging="426"/>
        <w:rPr>
          <w:i w:val="0"/>
          <w:sz w:val="23"/>
          <w:lang w:val="fr-FR"/>
        </w:rPr>
      </w:pPr>
    </w:p>
    <w:p w14:paraId="79242460" w14:textId="77777777" w:rsidR="008D66EA" w:rsidRPr="00723E55" w:rsidRDefault="00DC68F4" w:rsidP="00601185">
      <w:pPr>
        <w:pStyle w:val="Titre1"/>
        <w:numPr>
          <w:ilvl w:val="0"/>
          <w:numId w:val="1"/>
        </w:numPr>
        <w:tabs>
          <w:tab w:val="left" w:pos="0"/>
          <w:tab w:val="left" w:pos="1044"/>
        </w:tabs>
        <w:spacing w:line="259" w:lineRule="auto"/>
        <w:ind w:left="284" w:right="139" w:hanging="426"/>
        <w:jc w:val="both"/>
        <w:rPr>
          <w:lang w:val="fr-FR"/>
        </w:rPr>
      </w:pPr>
      <w:r w:rsidRPr="00723E55">
        <w:rPr>
          <w:lang w:val="fr-FR"/>
        </w:rPr>
        <w:t>Il fallait commencer par remettre sur 100 % la proportion de minéraux blancs, puis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repositionner</w:t>
      </w:r>
      <w:r w:rsidRPr="00723E55">
        <w:rPr>
          <w:spacing w:val="-3"/>
          <w:lang w:val="fr-FR"/>
        </w:rPr>
        <w:t xml:space="preserve"> </w:t>
      </w:r>
      <w:r w:rsidRPr="00723E55">
        <w:rPr>
          <w:lang w:val="fr-FR"/>
        </w:rPr>
        <w:t>dans le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diagramme</w:t>
      </w:r>
      <w:r w:rsidRPr="00723E55">
        <w:rPr>
          <w:spacing w:val="-2"/>
          <w:lang w:val="fr-FR"/>
        </w:rPr>
        <w:t xml:space="preserve"> </w:t>
      </w:r>
      <w:r w:rsidRPr="00723E55">
        <w:rPr>
          <w:lang w:val="fr-FR"/>
        </w:rPr>
        <w:t>ternaire</w:t>
      </w:r>
      <w:r w:rsidRPr="00723E55">
        <w:rPr>
          <w:spacing w:val="-2"/>
          <w:lang w:val="fr-FR"/>
        </w:rPr>
        <w:t xml:space="preserve"> </w:t>
      </w:r>
      <w:r w:rsidRPr="00723E55">
        <w:rPr>
          <w:lang w:val="fr-FR"/>
        </w:rPr>
        <w:t>pour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trouver le</w:t>
      </w:r>
      <w:r w:rsidRPr="00723E55">
        <w:rPr>
          <w:spacing w:val="-3"/>
          <w:lang w:val="fr-FR"/>
        </w:rPr>
        <w:t xml:space="preserve"> </w:t>
      </w:r>
      <w:r w:rsidRPr="00723E55">
        <w:rPr>
          <w:lang w:val="fr-FR"/>
        </w:rPr>
        <w:t>nom</w:t>
      </w:r>
      <w:r w:rsidRPr="00723E55">
        <w:rPr>
          <w:spacing w:val="2"/>
          <w:lang w:val="fr-FR"/>
        </w:rPr>
        <w:t xml:space="preserve"> </w:t>
      </w:r>
      <w:r w:rsidRPr="00723E55">
        <w:rPr>
          <w:lang w:val="fr-FR"/>
        </w:rPr>
        <w:t>: granite.</w:t>
      </w:r>
    </w:p>
    <w:p w14:paraId="7A947D85" w14:textId="77777777" w:rsidR="008D66EA" w:rsidRPr="00723E55" w:rsidRDefault="008D66EA" w:rsidP="00601185">
      <w:pPr>
        <w:pStyle w:val="Corpsdetexte"/>
        <w:tabs>
          <w:tab w:val="left" w:pos="0"/>
        </w:tabs>
        <w:spacing w:before="8"/>
        <w:ind w:left="284" w:hanging="426"/>
        <w:rPr>
          <w:i w:val="0"/>
          <w:sz w:val="23"/>
          <w:lang w:val="fr-FR"/>
        </w:rPr>
      </w:pPr>
    </w:p>
    <w:p w14:paraId="77E6421E" w14:textId="77777777" w:rsidR="008D66EA" w:rsidRPr="00723E55" w:rsidRDefault="008D66EA" w:rsidP="00601185">
      <w:pPr>
        <w:pStyle w:val="Corpsdetexte"/>
        <w:tabs>
          <w:tab w:val="left" w:pos="0"/>
        </w:tabs>
        <w:spacing w:before="3"/>
        <w:ind w:left="284" w:hanging="426"/>
        <w:rPr>
          <w:lang w:val="fr-FR"/>
        </w:rPr>
      </w:pPr>
    </w:p>
    <w:p w14:paraId="57836A30" w14:textId="3A8C2236" w:rsidR="008D66EA" w:rsidRPr="00723E55" w:rsidRDefault="00DC68F4" w:rsidP="00601185">
      <w:pPr>
        <w:pStyle w:val="Titre1"/>
        <w:numPr>
          <w:ilvl w:val="0"/>
          <w:numId w:val="1"/>
        </w:numPr>
        <w:tabs>
          <w:tab w:val="left" w:pos="0"/>
          <w:tab w:val="left" w:pos="1044"/>
        </w:tabs>
        <w:spacing w:line="259" w:lineRule="auto"/>
        <w:ind w:left="284" w:right="133" w:hanging="426"/>
        <w:jc w:val="both"/>
        <w:rPr>
          <w:lang w:val="fr-FR"/>
        </w:rPr>
      </w:pPr>
      <w:r w:rsidRPr="00723E55">
        <w:rPr>
          <w:lang w:val="fr-FR"/>
        </w:rPr>
        <w:t xml:space="preserve">Il fallait tracer le graphique </w:t>
      </w:r>
      <w:r w:rsidRPr="00723E55">
        <w:rPr>
          <w:vertAlign w:val="superscript"/>
          <w:lang w:val="fr-FR"/>
        </w:rPr>
        <w:t>87</w:t>
      </w:r>
      <w:r w:rsidRPr="00723E55">
        <w:rPr>
          <w:lang w:val="fr-FR"/>
        </w:rPr>
        <w:t>Sr/</w:t>
      </w:r>
      <w:r w:rsidRPr="00723E55">
        <w:rPr>
          <w:vertAlign w:val="superscript"/>
          <w:lang w:val="fr-FR"/>
        </w:rPr>
        <w:t>86</w:t>
      </w:r>
      <w:r w:rsidRPr="00723E55">
        <w:rPr>
          <w:lang w:val="fr-FR"/>
        </w:rPr>
        <w:t xml:space="preserve">Sr en fonction de </w:t>
      </w:r>
      <w:r w:rsidRPr="00723E55">
        <w:rPr>
          <w:vertAlign w:val="superscript"/>
          <w:lang w:val="fr-FR"/>
        </w:rPr>
        <w:t>87</w:t>
      </w:r>
      <w:r w:rsidRPr="00723E55">
        <w:rPr>
          <w:lang w:val="fr-FR"/>
        </w:rPr>
        <w:t>Rb/</w:t>
      </w:r>
      <w:r w:rsidRPr="00723E55">
        <w:rPr>
          <w:vertAlign w:val="superscript"/>
          <w:lang w:val="fr-FR"/>
        </w:rPr>
        <w:t>86</w:t>
      </w:r>
      <w:r w:rsidRPr="00723E55">
        <w:rPr>
          <w:lang w:val="fr-FR"/>
        </w:rPr>
        <w:t>Sr,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estimer le coefficient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directeur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 xml:space="preserve">de la droite à l’aide de </w:t>
      </w:r>
      <w:r w:rsidR="00601185" w:rsidRPr="00723E55">
        <w:rPr>
          <w:lang w:val="fr-FR"/>
        </w:rPr>
        <w:t>deux points soigneusement choisis</w:t>
      </w:r>
      <w:r w:rsidRPr="00723E55">
        <w:rPr>
          <w:lang w:val="fr-FR"/>
        </w:rPr>
        <w:t xml:space="preserve"> et estimer t. L’âge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la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roche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était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l’ordre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300 Ma.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Elle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est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donc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datée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du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Paléozoïque</w:t>
      </w:r>
      <w:r w:rsidRPr="00723E55">
        <w:rPr>
          <w:spacing w:val="60"/>
          <w:lang w:val="fr-FR"/>
        </w:rPr>
        <w:t xml:space="preserve"> </w:t>
      </w:r>
      <w:r w:rsidRPr="00723E55">
        <w:rPr>
          <w:lang w:val="fr-FR"/>
        </w:rPr>
        <w:t>et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appartient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donc</w:t>
      </w:r>
      <w:r w:rsidRPr="00723E55">
        <w:rPr>
          <w:spacing w:val="-2"/>
          <w:lang w:val="fr-FR"/>
        </w:rPr>
        <w:t xml:space="preserve"> </w:t>
      </w:r>
      <w:r w:rsidRPr="00723E55">
        <w:rPr>
          <w:lang w:val="fr-FR"/>
        </w:rPr>
        <w:t>bien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au socle.</w:t>
      </w:r>
    </w:p>
    <w:p w14:paraId="4020840C" w14:textId="77777777" w:rsidR="008D66EA" w:rsidRPr="00723E55" w:rsidRDefault="008D66EA" w:rsidP="00601185">
      <w:pPr>
        <w:pStyle w:val="Corpsdetexte"/>
        <w:tabs>
          <w:tab w:val="left" w:pos="0"/>
        </w:tabs>
        <w:spacing w:before="3"/>
        <w:ind w:left="284" w:hanging="426"/>
        <w:rPr>
          <w:lang w:val="fr-FR"/>
        </w:rPr>
      </w:pPr>
    </w:p>
    <w:p w14:paraId="3A7690C2" w14:textId="77777777" w:rsidR="008D66EA" w:rsidRPr="00723E55" w:rsidRDefault="00DC68F4" w:rsidP="00601185">
      <w:pPr>
        <w:pStyle w:val="Titre1"/>
        <w:numPr>
          <w:ilvl w:val="0"/>
          <w:numId w:val="1"/>
        </w:numPr>
        <w:tabs>
          <w:tab w:val="left" w:pos="0"/>
          <w:tab w:val="left" w:pos="1044"/>
        </w:tabs>
        <w:spacing w:line="259" w:lineRule="auto"/>
        <w:ind w:left="284" w:right="135" w:hanging="426"/>
        <w:jc w:val="both"/>
        <w:rPr>
          <w:lang w:val="fr-FR"/>
        </w:rPr>
      </w:pPr>
      <w:r w:rsidRPr="00723E55">
        <w:rPr>
          <w:lang w:val="fr-FR"/>
        </w:rPr>
        <w:t>Une anomalie en géophysique est une différence entre une valeur mesurée et une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valeur de référence, le plus souvent issue d’une modélisation. Une anomalie peut être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positive</w:t>
      </w:r>
      <w:r w:rsidRPr="00723E55">
        <w:rPr>
          <w:spacing w:val="-2"/>
          <w:lang w:val="fr-FR"/>
        </w:rPr>
        <w:t xml:space="preserve"> </w:t>
      </w:r>
      <w:r w:rsidRPr="00723E55">
        <w:rPr>
          <w:lang w:val="fr-FR"/>
        </w:rPr>
        <w:t>ou négative, souvent exprimée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en %.</w:t>
      </w:r>
    </w:p>
    <w:p w14:paraId="7F6F9D1E" w14:textId="77777777" w:rsidR="008D66EA" w:rsidRPr="00723E55" w:rsidRDefault="008D66EA" w:rsidP="00601185">
      <w:pPr>
        <w:pStyle w:val="Corpsdetexte"/>
        <w:tabs>
          <w:tab w:val="left" w:pos="0"/>
        </w:tabs>
        <w:spacing w:before="2"/>
        <w:ind w:left="284" w:hanging="426"/>
        <w:rPr>
          <w:lang w:val="fr-FR"/>
        </w:rPr>
      </w:pPr>
    </w:p>
    <w:p w14:paraId="77EB96B5" w14:textId="77777777" w:rsidR="008D66EA" w:rsidRPr="00723E55" w:rsidRDefault="00DC68F4" w:rsidP="00601185">
      <w:pPr>
        <w:pStyle w:val="Titre1"/>
        <w:numPr>
          <w:ilvl w:val="0"/>
          <w:numId w:val="1"/>
        </w:numPr>
        <w:tabs>
          <w:tab w:val="left" w:pos="0"/>
          <w:tab w:val="left" w:pos="1044"/>
        </w:tabs>
        <w:spacing w:line="259" w:lineRule="auto"/>
        <w:ind w:left="284" w:right="136" w:hanging="426"/>
        <w:jc w:val="both"/>
        <w:rPr>
          <w:lang w:val="fr-FR"/>
        </w:rPr>
      </w:pPr>
      <w:r w:rsidRPr="00723E55">
        <w:rPr>
          <w:lang w:val="fr-FR"/>
        </w:rPr>
        <w:t>Globalement les anomalies de Bouguer sont négatives sur tout l’extrait de carte avec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 xml:space="preserve">les valeurs les plus négatives (-50 </w:t>
      </w:r>
      <w:proofErr w:type="spellStart"/>
      <w:r w:rsidRPr="00723E55">
        <w:rPr>
          <w:lang w:val="fr-FR"/>
        </w:rPr>
        <w:t>mgal</w:t>
      </w:r>
      <w:proofErr w:type="spellEnd"/>
      <w:r w:rsidRPr="00723E55">
        <w:rPr>
          <w:lang w:val="fr-FR"/>
        </w:rPr>
        <w:t>) au Nord-Ouest de Clermont-Ferrand. Le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bassin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est</w:t>
      </w:r>
      <w:r w:rsidRPr="00723E55">
        <w:rPr>
          <w:spacing w:val="14"/>
          <w:lang w:val="fr-FR"/>
        </w:rPr>
        <w:t xml:space="preserve"> </w:t>
      </w:r>
      <w:r w:rsidRPr="00723E55">
        <w:rPr>
          <w:lang w:val="fr-FR"/>
        </w:rPr>
        <w:t>donc</w:t>
      </w:r>
      <w:r w:rsidRPr="00723E55">
        <w:rPr>
          <w:spacing w:val="15"/>
          <w:lang w:val="fr-FR"/>
        </w:rPr>
        <w:t xml:space="preserve"> </w:t>
      </w:r>
      <w:r w:rsidRPr="00723E55">
        <w:rPr>
          <w:lang w:val="fr-FR"/>
        </w:rPr>
        <w:t>caractérisé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par</w:t>
      </w:r>
      <w:r w:rsidRPr="00723E55">
        <w:rPr>
          <w:spacing w:val="15"/>
          <w:lang w:val="fr-FR"/>
        </w:rPr>
        <w:t xml:space="preserve"> </w:t>
      </w:r>
      <w:r w:rsidRPr="00723E55">
        <w:rPr>
          <w:lang w:val="fr-FR"/>
        </w:rPr>
        <w:t>un</w:t>
      </w:r>
      <w:r w:rsidRPr="00723E55">
        <w:rPr>
          <w:spacing w:val="14"/>
          <w:lang w:val="fr-FR"/>
        </w:rPr>
        <w:t xml:space="preserve"> </w:t>
      </w:r>
      <w:r w:rsidRPr="00723E55">
        <w:rPr>
          <w:lang w:val="fr-FR"/>
        </w:rPr>
        <w:t>déficit</w:t>
      </w:r>
      <w:r w:rsidRPr="00723E55">
        <w:rPr>
          <w:spacing w:val="14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masse,</w:t>
      </w:r>
      <w:r w:rsidRPr="00723E55">
        <w:rPr>
          <w:spacing w:val="14"/>
          <w:lang w:val="fr-FR"/>
        </w:rPr>
        <w:t xml:space="preserve"> </w:t>
      </w:r>
      <w:r w:rsidRPr="00723E55">
        <w:rPr>
          <w:lang w:val="fr-FR"/>
        </w:rPr>
        <w:t>dont</w:t>
      </w:r>
      <w:r w:rsidRPr="00723E55">
        <w:rPr>
          <w:spacing w:val="14"/>
          <w:lang w:val="fr-FR"/>
        </w:rPr>
        <w:t xml:space="preserve"> </w:t>
      </w:r>
      <w:r w:rsidRPr="00723E55">
        <w:rPr>
          <w:lang w:val="fr-FR"/>
        </w:rPr>
        <w:t>l’intensité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peut</w:t>
      </w:r>
      <w:r w:rsidRPr="00723E55">
        <w:rPr>
          <w:spacing w:val="14"/>
          <w:lang w:val="fr-FR"/>
        </w:rPr>
        <w:t xml:space="preserve"> </w:t>
      </w:r>
      <w:r w:rsidRPr="00723E55">
        <w:rPr>
          <w:lang w:val="fr-FR"/>
        </w:rPr>
        <w:t>être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mise</w:t>
      </w:r>
      <w:r w:rsidRPr="00723E55">
        <w:rPr>
          <w:spacing w:val="15"/>
          <w:lang w:val="fr-FR"/>
        </w:rPr>
        <w:t xml:space="preserve"> </w:t>
      </w:r>
      <w:r w:rsidRPr="00723E55">
        <w:rPr>
          <w:lang w:val="fr-FR"/>
        </w:rPr>
        <w:t>en</w:t>
      </w:r>
    </w:p>
    <w:p w14:paraId="6E4C03C8" w14:textId="77777777" w:rsidR="008D66EA" w:rsidRPr="00723E55" w:rsidRDefault="00DC68F4" w:rsidP="00601185">
      <w:pPr>
        <w:tabs>
          <w:tab w:val="left" w:pos="0"/>
        </w:tabs>
        <w:spacing w:before="75" w:line="259" w:lineRule="auto"/>
        <w:ind w:left="284" w:right="158" w:hanging="426"/>
        <w:jc w:val="both"/>
        <w:rPr>
          <w:sz w:val="24"/>
          <w:lang w:val="fr-FR"/>
        </w:rPr>
      </w:pPr>
      <w:proofErr w:type="gramStart"/>
      <w:r w:rsidRPr="00723E55">
        <w:rPr>
          <w:sz w:val="24"/>
          <w:lang w:val="fr-FR"/>
        </w:rPr>
        <w:t>parallèle</w:t>
      </w:r>
      <w:proofErr w:type="gramEnd"/>
      <w:r w:rsidRPr="00723E55">
        <w:rPr>
          <w:sz w:val="24"/>
          <w:lang w:val="fr-FR"/>
        </w:rPr>
        <w:t xml:space="preserve"> de l’épaisseur des sédiments dans le bassin (voir les isobathes du document</w:t>
      </w:r>
      <w:r w:rsidRPr="00723E55">
        <w:rPr>
          <w:spacing w:val="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1), les zones où cette épaisseur est la plus importante présente un déficit de masse</w:t>
      </w:r>
      <w:r w:rsidRPr="00723E55">
        <w:rPr>
          <w:spacing w:val="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important. Comme les sédiments sont moins denses (≈2,2) que la croute continentale</w:t>
      </w:r>
      <w:r w:rsidRPr="00723E55">
        <w:rPr>
          <w:spacing w:val="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moyenne</w:t>
      </w:r>
      <w:r w:rsidRPr="00723E55">
        <w:rPr>
          <w:spacing w:val="-2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(≈2,7),</w:t>
      </w:r>
      <w:r w:rsidRPr="00723E55">
        <w:rPr>
          <w:spacing w:val="-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la répartition</w:t>
      </w:r>
      <w:r w:rsidRPr="00723E55">
        <w:rPr>
          <w:spacing w:val="-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des</w:t>
      </w:r>
      <w:r w:rsidRPr="00723E55">
        <w:rPr>
          <w:spacing w:val="-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sédiments</w:t>
      </w:r>
      <w:r w:rsidRPr="00723E55">
        <w:rPr>
          <w:spacing w:val="-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peut</w:t>
      </w:r>
      <w:r w:rsidRPr="00723E55">
        <w:rPr>
          <w:spacing w:val="-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expliquer</w:t>
      </w:r>
      <w:r w:rsidRPr="00723E55">
        <w:rPr>
          <w:spacing w:val="-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ce</w:t>
      </w:r>
      <w:r w:rsidRPr="00723E55">
        <w:rPr>
          <w:spacing w:val="-2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déficit</w:t>
      </w:r>
      <w:r w:rsidRPr="00723E55">
        <w:rPr>
          <w:spacing w:val="-1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de</w:t>
      </w:r>
      <w:r w:rsidRPr="00723E55">
        <w:rPr>
          <w:spacing w:val="-2"/>
          <w:sz w:val="24"/>
          <w:lang w:val="fr-FR"/>
        </w:rPr>
        <w:t xml:space="preserve"> </w:t>
      </w:r>
      <w:r w:rsidRPr="00723E55">
        <w:rPr>
          <w:sz w:val="24"/>
          <w:lang w:val="fr-FR"/>
        </w:rPr>
        <w:t>masse.</w:t>
      </w:r>
    </w:p>
    <w:p w14:paraId="7539FF4C" w14:textId="77777777" w:rsidR="008D66EA" w:rsidRPr="00723E55" w:rsidRDefault="008D66EA" w:rsidP="00601185">
      <w:pPr>
        <w:pStyle w:val="Corpsdetexte"/>
        <w:tabs>
          <w:tab w:val="left" w:pos="0"/>
        </w:tabs>
        <w:spacing w:before="9"/>
        <w:ind w:left="284" w:hanging="426"/>
        <w:rPr>
          <w:i w:val="0"/>
          <w:sz w:val="23"/>
          <w:lang w:val="fr-FR"/>
        </w:rPr>
      </w:pPr>
    </w:p>
    <w:p w14:paraId="76A1E30D" w14:textId="77777777" w:rsidR="008D66EA" w:rsidRPr="00723E55" w:rsidRDefault="00DC68F4" w:rsidP="00601185">
      <w:pPr>
        <w:pStyle w:val="Titre1"/>
        <w:numPr>
          <w:ilvl w:val="0"/>
          <w:numId w:val="1"/>
        </w:numPr>
        <w:tabs>
          <w:tab w:val="left" w:pos="0"/>
          <w:tab w:val="left" w:pos="1021"/>
        </w:tabs>
        <w:spacing w:line="259" w:lineRule="auto"/>
        <w:ind w:left="284" w:right="160" w:hanging="426"/>
        <w:jc w:val="both"/>
        <w:rPr>
          <w:lang w:val="fr-FR"/>
        </w:rPr>
      </w:pPr>
      <w:r w:rsidRPr="00723E55">
        <w:rPr>
          <w:lang w:val="fr-FR"/>
        </w:rPr>
        <w:t>Sous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la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Limagne,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le</w:t>
      </w:r>
      <w:r w:rsidRPr="00723E55">
        <w:rPr>
          <w:spacing w:val="12"/>
          <w:lang w:val="fr-FR"/>
        </w:rPr>
        <w:t xml:space="preserve"> </w:t>
      </w:r>
      <w:proofErr w:type="spellStart"/>
      <w:r w:rsidRPr="00723E55">
        <w:rPr>
          <w:lang w:val="fr-FR"/>
        </w:rPr>
        <w:t>Moho</w:t>
      </w:r>
      <w:proofErr w:type="spellEnd"/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est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à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moins</w:t>
      </w:r>
      <w:r w:rsidRPr="00723E55">
        <w:rPr>
          <w:spacing w:val="10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26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km</w:t>
      </w:r>
      <w:r w:rsidRPr="00723E55">
        <w:rPr>
          <w:spacing w:val="11"/>
          <w:lang w:val="fr-FR"/>
        </w:rPr>
        <w:t xml:space="preserve"> </w:t>
      </w:r>
      <w:r w:rsidRPr="00723E55">
        <w:rPr>
          <w:lang w:val="fr-FR"/>
        </w:rPr>
        <w:t>et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la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base</w:t>
      </w:r>
      <w:r w:rsidRPr="00723E55">
        <w:rPr>
          <w:spacing w:val="13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la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lithosphère</w:t>
      </w:r>
      <w:r w:rsidRPr="00723E55">
        <w:rPr>
          <w:spacing w:val="11"/>
          <w:lang w:val="fr-FR"/>
        </w:rPr>
        <w:t xml:space="preserve"> </w:t>
      </w:r>
      <w:r w:rsidRPr="00723E55">
        <w:rPr>
          <w:lang w:val="fr-FR"/>
        </w:rPr>
        <w:t>à</w:t>
      </w:r>
      <w:r w:rsidRPr="00723E55">
        <w:rPr>
          <w:spacing w:val="12"/>
          <w:lang w:val="fr-FR"/>
        </w:rPr>
        <w:t xml:space="preserve"> </w:t>
      </w:r>
      <w:r w:rsidRPr="00723E55">
        <w:rPr>
          <w:lang w:val="fr-FR"/>
        </w:rPr>
        <w:t>moins</w:t>
      </w:r>
      <w:r w:rsidRPr="00723E55">
        <w:rPr>
          <w:spacing w:val="-58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80 km.</w:t>
      </w:r>
    </w:p>
    <w:p w14:paraId="3B90704B" w14:textId="77777777" w:rsidR="008D66EA" w:rsidRPr="00723E55" w:rsidRDefault="008D66EA" w:rsidP="00601185">
      <w:pPr>
        <w:pStyle w:val="Corpsdetexte"/>
        <w:tabs>
          <w:tab w:val="left" w:pos="0"/>
        </w:tabs>
        <w:spacing w:before="8"/>
        <w:ind w:left="284" w:hanging="426"/>
        <w:rPr>
          <w:i w:val="0"/>
          <w:sz w:val="23"/>
          <w:lang w:val="fr-FR"/>
        </w:rPr>
      </w:pPr>
    </w:p>
    <w:p w14:paraId="556E1677" w14:textId="77777777" w:rsidR="008D66EA" w:rsidRPr="00723E55" w:rsidRDefault="00DC68F4" w:rsidP="00601185">
      <w:pPr>
        <w:pStyle w:val="Titre1"/>
        <w:numPr>
          <w:ilvl w:val="0"/>
          <w:numId w:val="1"/>
        </w:numPr>
        <w:tabs>
          <w:tab w:val="left" w:pos="0"/>
          <w:tab w:val="left" w:pos="1081"/>
        </w:tabs>
        <w:spacing w:line="259" w:lineRule="auto"/>
        <w:ind w:left="284" w:right="158" w:hanging="426"/>
        <w:jc w:val="both"/>
        <w:rPr>
          <w:lang w:val="fr-FR"/>
        </w:rPr>
      </w:pPr>
      <w:r w:rsidRPr="00723E55">
        <w:rPr>
          <w:lang w:val="fr-FR"/>
        </w:rPr>
        <w:t>En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contexte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divergence,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on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attendait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bien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un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amincissement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crustal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et</w:t>
      </w:r>
      <w:r w:rsidRPr="00723E55">
        <w:rPr>
          <w:spacing w:val="-57"/>
          <w:lang w:val="fr-FR"/>
        </w:rPr>
        <w:t xml:space="preserve"> </w:t>
      </w:r>
      <w:r w:rsidRPr="00723E55">
        <w:rPr>
          <w:lang w:val="fr-FR"/>
        </w:rPr>
        <w:t>lithosphérique.</w:t>
      </w:r>
    </w:p>
    <w:p w14:paraId="7B60A69F" w14:textId="77777777" w:rsidR="008D66EA" w:rsidRPr="00723E55" w:rsidRDefault="008D66EA" w:rsidP="00601185">
      <w:pPr>
        <w:pStyle w:val="Corpsdetexte"/>
        <w:tabs>
          <w:tab w:val="left" w:pos="0"/>
        </w:tabs>
        <w:spacing w:before="8"/>
        <w:ind w:left="284" w:hanging="426"/>
        <w:rPr>
          <w:i w:val="0"/>
          <w:sz w:val="23"/>
          <w:lang w:val="fr-FR"/>
        </w:rPr>
      </w:pPr>
    </w:p>
    <w:p w14:paraId="0349276A" w14:textId="77777777" w:rsidR="008D66EA" w:rsidRPr="00723E55" w:rsidRDefault="008D66EA" w:rsidP="00601185">
      <w:pPr>
        <w:pStyle w:val="Corpsdetexte"/>
        <w:tabs>
          <w:tab w:val="left" w:pos="0"/>
        </w:tabs>
        <w:spacing w:before="3"/>
        <w:ind w:left="284" w:hanging="426"/>
        <w:rPr>
          <w:lang w:val="fr-FR"/>
        </w:rPr>
      </w:pPr>
    </w:p>
    <w:p w14:paraId="2879BB84" w14:textId="77777777" w:rsidR="008D66EA" w:rsidRPr="00723E55" w:rsidRDefault="00DC68F4" w:rsidP="00601185">
      <w:pPr>
        <w:pStyle w:val="Titre1"/>
        <w:numPr>
          <w:ilvl w:val="0"/>
          <w:numId w:val="1"/>
        </w:numPr>
        <w:tabs>
          <w:tab w:val="left" w:pos="0"/>
          <w:tab w:val="left" w:pos="1081"/>
        </w:tabs>
        <w:spacing w:line="259" w:lineRule="auto"/>
        <w:ind w:left="284" w:right="156" w:hanging="426"/>
        <w:jc w:val="both"/>
        <w:rPr>
          <w:lang w:val="fr-FR"/>
        </w:rPr>
      </w:pPr>
      <w:r w:rsidRPr="00723E55">
        <w:rPr>
          <w:lang w:val="fr-FR"/>
        </w:rPr>
        <w:t>Cette tomographie montre une anomalie de vitesse négative sous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la</w:t>
      </w:r>
      <w:r w:rsidRPr="00723E55">
        <w:rPr>
          <w:spacing w:val="60"/>
          <w:lang w:val="fr-FR"/>
        </w:rPr>
        <w:t xml:space="preserve"> </w:t>
      </w:r>
      <w:r w:rsidRPr="00723E55">
        <w:rPr>
          <w:lang w:val="fr-FR"/>
        </w:rPr>
        <w:t>Limagne vers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270 km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qui ne suit pas de manière continue plus en surface à la différence du Cantal.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Une anomalie de vitesse négative est interprétée comme une zone de densité plus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faible</w:t>
      </w:r>
      <w:proofErr w:type="gramStart"/>
      <w:r w:rsidRPr="00723E55">
        <w:rPr>
          <w:spacing w:val="-7"/>
          <w:lang w:val="fr-FR"/>
        </w:rPr>
        <w:t xml:space="preserve"> </w:t>
      </w:r>
      <w:r w:rsidRPr="00723E55">
        <w:rPr>
          <w:w w:val="90"/>
          <w:lang w:val="fr-FR"/>
        </w:rPr>
        <w:t>;</w:t>
      </w:r>
      <w:r>
        <w:rPr>
          <w:w w:val="90"/>
        </w:rPr>
        <w:t>;</w:t>
      </w:r>
      <w:proofErr w:type="gramEnd"/>
      <w:r w:rsidRPr="00723E55">
        <w:rPr>
          <w:w w:val="90"/>
          <w:lang w:val="fr-FR"/>
        </w:rPr>
        <w:t xml:space="preserve"> </w:t>
      </w:r>
      <w:r w:rsidRPr="00723E55">
        <w:rPr>
          <w:lang w:val="fr-FR"/>
        </w:rPr>
        <w:t>en</w:t>
      </w:r>
      <w:r w:rsidRPr="00723E55">
        <w:rPr>
          <w:spacing w:val="-6"/>
          <w:lang w:val="fr-FR"/>
        </w:rPr>
        <w:t xml:space="preserve"> </w:t>
      </w:r>
      <w:r w:rsidRPr="00723E55">
        <w:rPr>
          <w:lang w:val="fr-FR"/>
        </w:rPr>
        <w:t>supposant</w:t>
      </w:r>
      <w:r w:rsidRPr="00723E55">
        <w:rPr>
          <w:spacing w:val="-5"/>
          <w:lang w:val="fr-FR"/>
        </w:rPr>
        <w:t xml:space="preserve"> </w:t>
      </w:r>
      <w:r w:rsidRPr="00723E55">
        <w:rPr>
          <w:lang w:val="fr-FR"/>
        </w:rPr>
        <w:t>la</w:t>
      </w:r>
      <w:r w:rsidRPr="00723E55">
        <w:rPr>
          <w:spacing w:val="-5"/>
          <w:lang w:val="fr-FR"/>
        </w:rPr>
        <w:t xml:space="preserve"> </w:t>
      </w:r>
      <w:r w:rsidRPr="00723E55">
        <w:rPr>
          <w:lang w:val="fr-FR"/>
        </w:rPr>
        <w:t>chimie</w:t>
      </w:r>
      <w:r w:rsidRPr="00723E55">
        <w:rPr>
          <w:spacing w:val="-6"/>
          <w:lang w:val="fr-FR"/>
        </w:rPr>
        <w:t xml:space="preserve"> </w:t>
      </w:r>
      <w:r w:rsidRPr="00723E55">
        <w:rPr>
          <w:lang w:val="fr-FR"/>
        </w:rPr>
        <w:t>constante</w:t>
      </w:r>
      <w:r w:rsidRPr="00723E55">
        <w:rPr>
          <w:spacing w:val="-6"/>
          <w:lang w:val="fr-FR"/>
        </w:rPr>
        <w:t xml:space="preserve"> </w:t>
      </w:r>
      <w:r w:rsidRPr="00723E55">
        <w:rPr>
          <w:lang w:val="fr-FR"/>
        </w:rPr>
        <w:t>il</w:t>
      </w:r>
      <w:r w:rsidRPr="00723E55">
        <w:rPr>
          <w:spacing w:val="-5"/>
          <w:lang w:val="fr-FR"/>
        </w:rPr>
        <w:t xml:space="preserve"> </w:t>
      </w:r>
      <w:r w:rsidRPr="00723E55">
        <w:rPr>
          <w:lang w:val="fr-FR"/>
        </w:rPr>
        <w:t>s’agirait</w:t>
      </w:r>
      <w:r w:rsidRPr="00723E55">
        <w:rPr>
          <w:spacing w:val="-6"/>
          <w:lang w:val="fr-FR"/>
        </w:rPr>
        <w:t xml:space="preserve"> </w:t>
      </w:r>
      <w:r w:rsidRPr="00723E55">
        <w:rPr>
          <w:lang w:val="fr-FR"/>
        </w:rPr>
        <w:t>d’une</w:t>
      </w:r>
      <w:r w:rsidRPr="00723E55">
        <w:rPr>
          <w:spacing w:val="-7"/>
          <w:lang w:val="fr-FR"/>
        </w:rPr>
        <w:t xml:space="preserve"> </w:t>
      </w:r>
      <w:r w:rsidRPr="00723E55">
        <w:rPr>
          <w:lang w:val="fr-FR"/>
        </w:rPr>
        <w:t>zone</w:t>
      </w:r>
      <w:r w:rsidRPr="00723E55">
        <w:rPr>
          <w:spacing w:val="-4"/>
          <w:lang w:val="fr-FR"/>
        </w:rPr>
        <w:t xml:space="preserve"> </w:t>
      </w:r>
      <w:r w:rsidRPr="00723E55">
        <w:rPr>
          <w:lang w:val="fr-FR"/>
        </w:rPr>
        <w:t>anormalement</w:t>
      </w:r>
      <w:r w:rsidRPr="00723E55">
        <w:rPr>
          <w:spacing w:val="-4"/>
          <w:lang w:val="fr-FR"/>
        </w:rPr>
        <w:t xml:space="preserve"> </w:t>
      </w:r>
      <w:r w:rsidRPr="00723E55">
        <w:rPr>
          <w:lang w:val="fr-FR"/>
        </w:rPr>
        <w:t>chaude.</w:t>
      </w:r>
      <w:r w:rsidRPr="00723E55">
        <w:rPr>
          <w:spacing w:val="-58"/>
          <w:lang w:val="fr-FR"/>
        </w:rPr>
        <w:t xml:space="preserve"> </w:t>
      </w:r>
      <w:r w:rsidRPr="00723E55">
        <w:rPr>
          <w:lang w:val="fr-FR"/>
        </w:rPr>
        <w:t>Il</w:t>
      </w:r>
      <w:r w:rsidRPr="00723E55">
        <w:rPr>
          <w:spacing w:val="60"/>
          <w:lang w:val="fr-FR"/>
        </w:rPr>
        <w:t xml:space="preserve"> </w:t>
      </w:r>
      <w:r w:rsidRPr="00723E55">
        <w:rPr>
          <w:lang w:val="fr-FR"/>
        </w:rPr>
        <w:t>y aurait donc sous la Limagne (270km) une remonté</w:t>
      </w:r>
      <w:r w:rsidRPr="00723E55">
        <w:rPr>
          <w:spacing w:val="60"/>
          <w:lang w:val="fr-FR"/>
        </w:rPr>
        <w:t xml:space="preserve"> </w:t>
      </w:r>
      <w:r w:rsidRPr="00723E55">
        <w:rPr>
          <w:lang w:val="fr-FR"/>
        </w:rPr>
        <w:t>d’asthénosphère chaude, ce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qui est en accord avec les données du document 14 et le contexte de divergence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lithosphérique.</w:t>
      </w:r>
    </w:p>
    <w:p w14:paraId="76D703B7" w14:textId="77777777" w:rsidR="008D66EA" w:rsidRPr="00723E55" w:rsidRDefault="008D66EA" w:rsidP="00601185">
      <w:pPr>
        <w:pStyle w:val="Corpsdetexte"/>
        <w:tabs>
          <w:tab w:val="left" w:pos="0"/>
        </w:tabs>
        <w:spacing w:before="3"/>
        <w:ind w:left="284" w:hanging="426"/>
        <w:rPr>
          <w:lang w:val="fr-FR"/>
        </w:rPr>
      </w:pPr>
    </w:p>
    <w:p w14:paraId="31B67A05" w14:textId="77777777" w:rsidR="008D66EA" w:rsidRPr="00723E55" w:rsidRDefault="00DC68F4" w:rsidP="00601185">
      <w:pPr>
        <w:pStyle w:val="Titre1"/>
        <w:numPr>
          <w:ilvl w:val="0"/>
          <w:numId w:val="1"/>
        </w:numPr>
        <w:tabs>
          <w:tab w:val="left" w:pos="0"/>
          <w:tab w:val="left" w:pos="1021"/>
        </w:tabs>
        <w:spacing w:line="259" w:lineRule="auto"/>
        <w:ind w:left="284" w:right="161" w:hanging="426"/>
        <w:jc w:val="both"/>
        <w:rPr>
          <w:lang w:val="fr-FR"/>
        </w:rPr>
      </w:pPr>
      <w:r w:rsidRPr="00723E55">
        <w:rPr>
          <w:lang w:val="fr-FR"/>
        </w:rPr>
        <w:t>Éléments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attendus :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la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faille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bordière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est,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remplissage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asymétrique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avec</w:t>
      </w:r>
      <w:r w:rsidRPr="00723E55">
        <w:rPr>
          <w:spacing w:val="1"/>
          <w:lang w:val="fr-FR"/>
        </w:rPr>
        <w:t xml:space="preserve"> </w:t>
      </w:r>
      <w:proofErr w:type="spellStart"/>
      <w:r w:rsidRPr="00723E55">
        <w:rPr>
          <w:lang w:val="fr-FR"/>
        </w:rPr>
        <w:t>granoclassement</w:t>
      </w:r>
      <w:proofErr w:type="spellEnd"/>
      <w:r w:rsidRPr="00723E55">
        <w:rPr>
          <w:lang w:val="fr-FR"/>
        </w:rPr>
        <w:t xml:space="preserve"> horizontal et vertical, volcanisme (coulée et édifice), profondeur du</w:t>
      </w:r>
      <w:r w:rsidRPr="00723E55">
        <w:rPr>
          <w:spacing w:val="1"/>
          <w:lang w:val="fr-FR"/>
        </w:rPr>
        <w:t xml:space="preserve"> </w:t>
      </w:r>
      <w:proofErr w:type="spellStart"/>
      <w:r w:rsidRPr="00723E55">
        <w:rPr>
          <w:lang w:val="fr-FR"/>
        </w:rPr>
        <w:t>Moho</w:t>
      </w:r>
      <w:proofErr w:type="spellEnd"/>
      <w:r w:rsidRPr="00723E55">
        <w:rPr>
          <w:lang w:val="fr-FR"/>
        </w:rPr>
        <w:t>,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de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la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lithosphère,</w:t>
      </w:r>
      <w:r w:rsidRPr="00723E55">
        <w:rPr>
          <w:spacing w:val="1"/>
          <w:lang w:val="fr-FR"/>
        </w:rPr>
        <w:t xml:space="preserve"> </w:t>
      </w:r>
      <w:r w:rsidRPr="00723E55">
        <w:rPr>
          <w:lang w:val="fr-FR"/>
        </w:rPr>
        <w:t>le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socle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et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son âge, un</w:t>
      </w:r>
      <w:r w:rsidRPr="00723E55">
        <w:rPr>
          <w:spacing w:val="-1"/>
          <w:lang w:val="fr-FR"/>
        </w:rPr>
        <w:t xml:space="preserve"> </w:t>
      </w:r>
      <w:r w:rsidRPr="00723E55">
        <w:rPr>
          <w:lang w:val="fr-FR"/>
        </w:rPr>
        <w:t>titre</w:t>
      </w:r>
      <w:r w:rsidRPr="00723E55">
        <w:rPr>
          <w:spacing w:val="-2"/>
          <w:lang w:val="fr-FR"/>
        </w:rPr>
        <w:t xml:space="preserve"> </w:t>
      </w:r>
      <w:r w:rsidRPr="00723E55">
        <w:rPr>
          <w:lang w:val="fr-FR"/>
        </w:rPr>
        <w:t>et une échelle</w:t>
      </w:r>
    </w:p>
    <w:p w14:paraId="3675881F" w14:textId="2D0932BB" w:rsidR="008D66EA" w:rsidRPr="00723E55" w:rsidRDefault="008D66EA" w:rsidP="00601185">
      <w:pPr>
        <w:pStyle w:val="Corpsdetexte"/>
        <w:tabs>
          <w:tab w:val="left" w:pos="0"/>
        </w:tabs>
        <w:spacing w:line="235" w:lineRule="auto"/>
        <w:ind w:left="284" w:right="105" w:hanging="426"/>
        <w:jc w:val="both"/>
        <w:rPr>
          <w:lang w:val="fr-FR"/>
        </w:rPr>
      </w:pPr>
    </w:p>
    <w:sectPr w:rsidR="008D66EA" w:rsidRPr="00723E55">
      <w:pgSz w:w="11910" w:h="16840"/>
      <w:pgMar w:top="1320" w:right="12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B3579"/>
    <w:multiLevelType w:val="hybridMultilevel"/>
    <w:tmpl w:val="600E97DC"/>
    <w:lvl w:ilvl="0" w:tplc="39FAAEBC">
      <w:start w:val="4"/>
      <w:numFmt w:val="decimal"/>
      <w:lvlText w:val="%1)"/>
      <w:lvlJc w:val="left"/>
      <w:pPr>
        <w:ind w:left="104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FBFC9C9C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EDE503C">
      <w:numFmt w:val="bullet"/>
      <w:lvlText w:val="•"/>
      <w:lvlJc w:val="left"/>
      <w:pPr>
        <w:ind w:left="2725" w:hanging="360"/>
      </w:pPr>
      <w:rPr>
        <w:rFonts w:hint="default"/>
      </w:rPr>
    </w:lvl>
    <w:lvl w:ilvl="3" w:tplc="8FDEC170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60F86BE8">
      <w:numFmt w:val="bullet"/>
      <w:lvlText w:val="•"/>
      <w:lvlJc w:val="left"/>
      <w:pPr>
        <w:ind w:left="4410" w:hanging="360"/>
      </w:pPr>
      <w:rPr>
        <w:rFonts w:hint="default"/>
      </w:rPr>
    </w:lvl>
    <w:lvl w:ilvl="5" w:tplc="FB36CBF6">
      <w:numFmt w:val="bullet"/>
      <w:lvlText w:val="•"/>
      <w:lvlJc w:val="left"/>
      <w:pPr>
        <w:ind w:left="5253" w:hanging="360"/>
      </w:pPr>
      <w:rPr>
        <w:rFonts w:hint="default"/>
      </w:rPr>
    </w:lvl>
    <w:lvl w:ilvl="6" w:tplc="471C8728"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6EDECA02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309076D6">
      <w:numFmt w:val="bullet"/>
      <w:lvlText w:val="•"/>
      <w:lvlJc w:val="left"/>
      <w:pPr>
        <w:ind w:left="778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66EA"/>
    <w:rsid w:val="00601185"/>
    <w:rsid w:val="00723E55"/>
    <w:rsid w:val="007406C8"/>
    <w:rsid w:val="007C1A0A"/>
    <w:rsid w:val="008D66EA"/>
    <w:rsid w:val="00C91DDB"/>
    <w:rsid w:val="00DC68F4"/>
    <w:rsid w:val="00F6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9FF9A45"/>
  <w15:docId w15:val="{46332641-408E-D645-99EF-BE356BB2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ind w:left="1043" w:hanging="360"/>
      <w:jc w:val="both"/>
      <w:outlineLvl w:val="0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4"/>
      <w:szCs w:val="24"/>
    </w:rPr>
  </w:style>
  <w:style w:type="paragraph" w:styleId="Titre">
    <w:name w:val="Title"/>
    <w:basedOn w:val="Normal"/>
    <w:uiPriority w:val="10"/>
    <w:qFormat/>
    <w:pPr>
      <w:spacing w:before="56"/>
      <w:ind w:left="976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043" w:right="1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Banque Agro-Veto – Session 2015</vt:lpstr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Banque Agro-Veto – Session 2015</dc:title>
  <dc:subject>Rapport sur les concours A filière BCPST</dc:subject>
  <dc:creator>OQUIGLEY CATHERINE</dc:creator>
  <cp:lastModifiedBy>BEAUX Ghislaine</cp:lastModifiedBy>
  <cp:revision>3</cp:revision>
  <dcterms:created xsi:type="dcterms:W3CDTF">2022-01-28T09:49:00Z</dcterms:created>
  <dcterms:modified xsi:type="dcterms:W3CDTF">2022-01-28T19:46:00Z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2022-01-28T00:00:00Z</vt:filetime>
  </property>
</Properties>
</file>