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9E5F46" w14:textId="77777777" w:rsidR="0086435F" w:rsidRPr="00731A19" w:rsidRDefault="0086435F" w:rsidP="00731A1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center"/>
      </w:pPr>
      <w:r w:rsidRPr="00731A19">
        <w:t>Partie 4 : Déséquilibres, régulation et action publique</w:t>
      </w:r>
    </w:p>
    <w:p w14:paraId="51B9C164" w14:textId="77777777" w:rsidR="0086435F" w:rsidRDefault="0086435F" w:rsidP="00731A1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center"/>
        <w:rPr>
          <w:b/>
        </w:rPr>
      </w:pPr>
      <w:r w:rsidRPr="00731A19">
        <w:rPr>
          <w:b/>
        </w:rPr>
        <w:t>Chapitre 1 :  Inflation et Déflation : causes et conséquences</w:t>
      </w:r>
    </w:p>
    <w:p w14:paraId="716C5FB9" w14:textId="65A11EE3" w:rsidR="00563FD1" w:rsidRPr="00731A19" w:rsidRDefault="00563FD1" w:rsidP="00731A1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center"/>
      </w:pPr>
      <w:r>
        <w:rPr>
          <w:b/>
        </w:rPr>
        <w:t xml:space="preserve">Plan et Bibliographie </w:t>
      </w:r>
    </w:p>
    <w:p w14:paraId="5E3D05AC" w14:textId="77777777" w:rsidR="0086435F" w:rsidRPr="00731A19" w:rsidRDefault="0086435F" w:rsidP="00731A19">
      <w:pPr>
        <w:pStyle w:val="Normalweb"/>
        <w:spacing w:before="0" w:beforeAutospacing="0" w:after="0" w:afterAutospacing="0"/>
        <w:jc w:val="center"/>
        <w:rPr>
          <w:b/>
        </w:rPr>
      </w:pPr>
    </w:p>
    <w:p w14:paraId="660F8A59" w14:textId="77777777" w:rsidR="0086435F" w:rsidRPr="00731A19" w:rsidRDefault="0086435F" w:rsidP="00731A19">
      <w:pPr>
        <w:pStyle w:val="Normalweb"/>
        <w:spacing w:before="0" w:beforeAutospacing="0" w:after="0" w:afterAutospacing="0"/>
        <w:jc w:val="both"/>
        <w:rPr>
          <w:b/>
        </w:rPr>
      </w:pPr>
      <w:r w:rsidRPr="00731A19">
        <w:rPr>
          <w:b/>
        </w:rPr>
        <w:t xml:space="preserve">Introduction : quelques éléments de définitions </w:t>
      </w:r>
    </w:p>
    <w:p w14:paraId="1272F206" w14:textId="5A9F5844" w:rsidR="00473E9A" w:rsidRDefault="0086435F" w:rsidP="00731A19">
      <w:pPr>
        <w:pStyle w:val="Normalweb"/>
        <w:spacing w:before="0" w:beforeAutospacing="0" w:after="0" w:afterAutospacing="0"/>
        <w:jc w:val="both"/>
        <w:rPr>
          <w:noProof/>
        </w:rPr>
      </w:pPr>
      <w:r w:rsidRPr="00731A19">
        <w:rPr>
          <w:noProof/>
        </w:rPr>
        <w:t xml:space="preserve">Bezbakh (2019) il s’agit : </w:t>
      </w:r>
      <w:r w:rsidRPr="00485208">
        <w:rPr>
          <w:i/>
          <w:noProof/>
        </w:rPr>
        <w:t>« d’un processus de hausse cumulative et auto-entretenue du niveau général des prix »</w:t>
      </w:r>
      <w:r w:rsidRPr="00731A19">
        <w:rPr>
          <w:noProof/>
        </w:rPr>
        <w:t>.  </w:t>
      </w:r>
    </w:p>
    <w:p w14:paraId="7A4029D6" w14:textId="0AA9E518" w:rsidR="00714782" w:rsidRPr="00714782" w:rsidRDefault="00714782" w:rsidP="00731A19">
      <w:pPr>
        <w:pStyle w:val="Normalweb"/>
        <w:spacing w:before="0" w:beforeAutospacing="0" w:after="0" w:afterAutospacing="0"/>
        <w:jc w:val="both"/>
        <w:rPr>
          <w:noProof/>
          <w:lang w:val="en-US"/>
        </w:rPr>
      </w:pPr>
      <w:r>
        <w:rPr>
          <w:rFonts w:eastAsia="Times New Roman"/>
          <w:color w:val="222222"/>
          <w:shd w:val="clear" w:color="auto" w:fill="FFFFFF"/>
          <w:lang w:val="en-US"/>
        </w:rPr>
        <w:t>N. Kaldor</w:t>
      </w:r>
      <w:r w:rsidR="00485208">
        <w:rPr>
          <w:rFonts w:eastAsia="Times New Roman"/>
          <w:color w:val="222222"/>
          <w:shd w:val="clear" w:color="auto" w:fill="FFFFFF"/>
          <w:lang w:val="en-US"/>
        </w:rPr>
        <w:t>,</w:t>
      </w:r>
      <w:r w:rsidR="00485208" w:rsidRPr="00485208">
        <w:rPr>
          <w:lang w:val="en-US"/>
        </w:rPr>
        <w:t xml:space="preserve"> </w:t>
      </w:r>
      <w:r w:rsidR="00485208" w:rsidRPr="00714782">
        <w:rPr>
          <w:lang w:val="en-US"/>
        </w:rPr>
        <w:t>1</w:t>
      </w:r>
      <w:r w:rsidR="00485208" w:rsidRPr="00714782">
        <w:rPr>
          <w:rFonts w:eastAsia="Times New Roman"/>
          <w:color w:val="222222"/>
          <w:shd w:val="clear" w:color="auto" w:fill="FFFFFF"/>
          <w:lang w:val="en-US"/>
        </w:rPr>
        <w:t>971</w:t>
      </w:r>
      <w:r w:rsidR="00485208">
        <w:rPr>
          <w:noProof/>
          <w:lang w:val="en-US"/>
        </w:rPr>
        <w:t xml:space="preserve">, </w:t>
      </w:r>
      <w:r>
        <w:rPr>
          <w:rFonts w:eastAsia="Times New Roman"/>
          <w:color w:val="222222"/>
          <w:shd w:val="clear" w:color="auto" w:fill="FFFFFF"/>
          <w:lang w:val="en-US"/>
        </w:rPr>
        <w:t xml:space="preserve"> </w:t>
      </w:r>
      <w:r w:rsidRPr="00714782">
        <w:rPr>
          <w:rFonts w:eastAsia="Times New Roman"/>
          <w:i/>
          <w:color w:val="222222"/>
          <w:shd w:val="clear" w:color="auto" w:fill="FFFFFF"/>
          <w:lang w:val="en-US"/>
        </w:rPr>
        <w:t>Conflicts in National Economic Objectives</w:t>
      </w:r>
    </w:p>
    <w:p w14:paraId="67B081E2" w14:textId="77777777" w:rsidR="00714782" w:rsidRPr="00592A44" w:rsidRDefault="00714782" w:rsidP="00731A19">
      <w:pPr>
        <w:pStyle w:val="Normalweb"/>
        <w:spacing w:before="0" w:beforeAutospacing="0" w:after="0" w:afterAutospacing="0"/>
        <w:jc w:val="both"/>
        <w:rPr>
          <w:lang w:val="en-US"/>
        </w:rPr>
      </w:pPr>
    </w:p>
    <w:p w14:paraId="5EBB805B" w14:textId="392ACE56" w:rsidR="00473E9A" w:rsidRDefault="00473E9A" w:rsidP="00731A19">
      <w:pPr>
        <w:pStyle w:val="Normalweb"/>
        <w:spacing w:before="0" w:beforeAutospacing="0" w:after="0" w:afterAutospacing="0"/>
        <w:jc w:val="both"/>
      </w:pPr>
      <w:r>
        <w:t xml:space="preserve">Ouvrage de base : </w:t>
      </w:r>
    </w:p>
    <w:p w14:paraId="3A3A8419" w14:textId="37BFF824" w:rsidR="00473E9A" w:rsidRDefault="00473E9A" w:rsidP="00731A19">
      <w:pPr>
        <w:pStyle w:val="Normalweb"/>
        <w:spacing w:before="0" w:beforeAutospacing="0" w:after="0" w:afterAutospacing="0"/>
        <w:jc w:val="both"/>
      </w:pPr>
      <w:r>
        <w:t xml:space="preserve">P. Bezbakh, </w:t>
      </w:r>
      <w:r w:rsidRPr="00714782">
        <w:rPr>
          <w:i/>
        </w:rPr>
        <w:t>Inflation et déflation</w:t>
      </w:r>
      <w:r>
        <w:t>,</w:t>
      </w:r>
      <w:r w:rsidR="00B516A8">
        <w:t xml:space="preserve"> 2019, </w:t>
      </w:r>
      <w:r>
        <w:t xml:space="preserve">Repères </w:t>
      </w:r>
    </w:p>
    <w:p w14:paraId="278FBD31" w14:textId="77777777" w:rsidR="00473E9A" w:rsidRPr="00731A19" w:rsidRDefault="00473E9A" w:rsidP="00731A19">
      <w:pPr>
        <w:pStyle w:val="Normalweb"/>
        <w:spacing w:before="0" w:beforeAutospacing="0" w:after="0" w:afterAutospacing="0"/>
        <w:jc w:val="both"/>
      </w:pPr>
    </w:p>
    <w:p w14:paraId="6B441593" w14:textId="77777777" w:rsidR="0086435F" w:rsidRPr="00731A19" w:rsidRDefault="0086435F" w:rsidP="00731A19">
      <w:pPr>
        <w:pStyle w:val="Normalweb"/>
        <w:spacing w:before="0" w:beforeAutospacing="0" w:after="0" w:afterAutospacing="0"/>
        <w:jc w:val="both"/>
        <w:rPr>
          <w:color w:val="000000" w:themeColor="text1"/>
        </w:rPr>
      </w:pPr>
    </w:p>
    <w:p w14:paraId="2DFC87A3" w14:textId="77777777" w:rsidR="0086435F" w:rsidRPr="00731A19" w:rsidRDefault="0086435F" w:rsidP="00714782">
      <w:pPr>
        <w:jc w:val="both"/>
        <w:rPr>
          <w:color w:val="000000" w:themeColor="text1"/>
        </w:rPr>
      </w:pPr>
      <w:r w:rsidRPr="00731A19">
        <w:rPr>
          <w:b/>
          <w:color w:val="000000" w:themeColor="text1"/>
          <w:u w:val="single"/>
        </w:rPr>
        <w:t>I La mesure de l’inflation</w:t>
      </w:r>
      <w:r w:rsidRPr="00731A19">
        <w:rPr>
          <w:color w:val="000000" w:themeColor="text1"/>
        </w:rPr>
        <w:t xml:space="preserve"> </w:t>
      </w:r>
    </w:p>
    <w:p w14:paraId="4BEC4CF5" w14:textId="77777777" w:rsidR="0086435F" w:rsidRPr="00731A19" w:rsidRDefault="0086435F" w:rsidP="00714782">
      <w:pPr>
        <w:jc w:val="both"/>
        <w:rPr>
          <w:color w:val="000000" w:themeColor="text1"/>
        </w:rPr>
      </w:pPr>
      <w:r w:rsidRPr="00731A19">
        <w:rPr>
          <w:b/>
          <w:color w:val="000000" w:themeColor="text1"/>
        </w:rPr>
        <w:t xml:space="preserve">A) L’indice des prix à la consommation </w:t>
      </w:r>
    </w:p>
    <w:p w14:paraId="43513D8D" w14:textId="77777777" w:rsidR="0086435F" w:rsidRPr="00731A19" w:rsidRDefault="0086435F" w:rsidP="00714782">
      <w:pPr>
        <w:jc w:val="both"/>
        <w:rPr>
          <w:color w:val="000000" w:themeColor="text1"/>
        </w:rPr>
      </w:pPr>
      <w:r w:rsidRPr="00731A19">
        <w:rPr>
          <w:color w:val="000000" w:themeColor="text1"/>
        </w:rPr>
        <w:t xml:space="preserve">1) Définition </w:t>
      </w:r>
    </w:p>
    <w:p w14:paraId="1EB32F4E" w14:textId="77777777" w:rsidR="0086435F" w:rsidRPr="00731A19" w:rsidRDefault="0086435F" w:rsidP="00714782">
      <w:pPr>
        <w:jc w:val="both"/>
        <w:rPr>
          <w:color w:val="000000" w:themeColor="text1"/>
        </w:rPr>
      </w:pPr>
      <w:r w:rsidRPr="00731A19">
        <w:rPr>
          <w:color w:val="000000" w:themeColor="text1"/>
        </w:rPr>
        <w:t>2) Le calcul de l’IPC</w:t>
      </w:r>
    </w:p>
    <w:p w14:paraId="5B2A7816" w14:textId="77777777" w:rsidR="0086435F" w:rsidRPr="00731A19" w:rsidRDefault="0086435F" w:rsidP="00714782">
      <w:pPr>
        <w:jc w:val="both"/>
        <w:rPr>
          <w:color w:val="000000" w:themeColor="text1"/>
        </w:rPr>
      </w:pPr>
      <w:r w:rsidRPr="00731A19">
        <w:rPr>
          <w:color w:val="000000" w:themeColor="text1"/>
        </w:rPr>
        <w:t xml:space="preserve">3) Les usages de l’IPC </w:t>
      </w:r>
    </w:p>
    <w:p w14:paraId="074DB90A" w14:textId="63480629" w:rsidR="0086435F" w:rsidRPr="00731A19" w:rsidRDefault="0086435F" w:rsidP="00714782">
      <w:pPr>
        <w:pStyle w:val="Normalweb"/>
        <w:spacing w:before="0" w:beforeAutospacing="0" w:after="0" w:afterAutospacing="0"/>
        <w:jc w:val="both"/>
        <w:rPr>
          <w:color w:val="000000" w:themeColor="text1"/>
        </w:rPr>
      </w:pPr>
      <w:r w:rsidRPr="00714782">
        <w:rPr>
          <w:i/>
          <w:color w:val="000000" w:themeColor="text1"/>
        </w:rPr>
        <w:t>« Le taux nominal vous indique à quel rythme croît votre compte en banque ; le taux réel vous indique à quel rythme croît votre pouvoir d’achat. »</w:t>
      </w:r>
      <w:r w:rsidR="00714782">
        <w:rPr>
          <w:color w:val="000000" w:themeColor="text1"/>
        </w:rPr>
        <w:t xml:space="preserve"> écrit G. Mankiw, </w:t>
      </w:r>
      <w:r w:rsidR="00714782" w:rsidRPr="00EE5F53">
        <w:rPr>
          <w:i/>
          <w:color w:val="000000" w:themeColor="text1"/>
        </w:rPr>
        <w:t>Macroéconomie</w:t>
      </w:r>
    </w:p>
    <w:p w14:paraId="4BC06E54" w14:textId="77777777" w:rsidR="0086435F" w:rsidRPr="00731A19" w:rsidRDefault="0086435F" w:rsidP="00714782">
      <w:pPr>
        <w:pStyle w:val="Normalweb"/>
        <w:spacing w:before="0" w:beforeAutospacing="0" w:after="0" w:afterAutospacing="0"/>
        <w:jc w:val="both"/>
        <w:rPr>
          <w:color w:val="000000" w:themeColor="text1"/>
        </w:rPr>
      </w:pPr>
    </w:p>
    <w:p w14:paraId="2320982A" w14:textId="317971CB" w:rsidR="0086435F" w:rsidRPr="00714782" w:rsidRDefault="0086435F" w:rsidP="00714782">
      <w:pPr>
        <w:pStyle w:val="Normalweb"/>
        <w:spacing w:before="0" w:beforeAutospacing="0" w:after="0" w:afterAutospacing="0"/>
        <w:jc w:val="both"/>
        <w:rPr>
          <w:b/>
          <w:color w:val="000000" w:themeColor="text1"/>
        </w:rPr>
      </w:pPr>
      <w:r w:rsidRPr="00714782">
        <w:rPr>
          <w:b/>
          <w:color w:val="000000" w:themeColor="text1"/>
        </w:rPr>
        <w:t xml:space="preserve">B) Les limites de l’IPC </w:t>
      </w:r>
    </w:p>
    <w:p w14:paraId="50EE6C52" w14:textId="6355843C" w:rsidR="0086435F" w:rsidRPr="00731A19" w:rsidRDefault="0086435F" w:rsidP="00714782">
      <w:pPr>
        <w:pStyle w:val="Normalweb"/>
        <w:spacing w:before="0" w:beforeAutospacing="0" w:after="0" w:afterAutospacing="0"/>
        <w:jc w:val="both"/>
        <w:rPr>
          <w:color w:val="000000" w:themeColor="text1"/>
        </w:rPr>
      </w:pPr>
      <w:r w:rsidRPr="00731A19">
        <w:rPr>
          <w:color w:val="000000" w:themeColor="text1"/>
        </w:rPr>
        <w:t>1) Les problèmes de calcul de l’IPC</w:t>
      </w:r>
    </w:p>
    <w:p w14:paraId="5AD050BB" w14:textId="0BF0A01E" w:rsidR="0086435F" w:rsidRPr="00714782" w:rsidRDefault="0086435F" w:rsidP="00714782">
      <w:pPr>
        <w:pStyle w:val="Normalweb"/>
        <w:spacing w:before="0" w:beforeAutospacing="0" w:after="0" w:afterAutospacing="0"/>
        <w:ind w:firstLine="708"/>
        <w:jc w:val="both"/>
        <w:rPr>
          <w:i/>
          <w:color w:val="000000" w:themeColor="text1"/>
        </w:rPr>
      </w:pPr>
      <w:r w:rsidRPr="00714782">
        <w:rPr>
          <w:i/>
          <w:color w:val="000000" w:themeColor="text1"/>
        </w:rPr>
        <w:t>a)</w:t>
      </w:r>
      <w:r w:rsidRPr="00731A19">
        <w:rPr>
          <w:color w:val="000000" w:themeColor="text1"/>
        </w:rPr>
        <w:t xml:space="preserve"> </w:t>
      </w:r>
      <w:r w:rsidRPr="00714782">
        <w:rPr>
          <w:i/>
          <w:color w:val="000000" w:themeColor="text1"/>
        </w:rPr>
        <w:t xml:space="preserve">La substitution entre les produits </w:t>
      </w:r>
    </w:p>
    <w:p w14:paraId="53436A86" w14:textId="293B4F14" w:rsidR="0086435F" w:rsidRPr="00714782" w:rsidRDefault="0086435F" w:rsidP="00714782">
      <w:pPr>
        <w:pStyle w:val="Normalweb"/>
        <w:spacing w:before="0" w:beforeAutospacing="0" w:after="0" w:afterAutospacing="0"/>
        <w:ind w:firstLine="708"/>
        <w:jc w:val="both"/>
        <w:rPr>
          <w:i/>
          <w:color w:val="000000" w:themeColor="text1"/>
        </w:rPr>
      </w:pPr>
      <w:r w:rsidRPr="00714782">
        <w:rPr>
          <w:i/>
          <w:color w:val="000000" w:themeColor="text1"/>
        </w:rPr>
        <w:t>b) L’introduction de nouveaux produits</w:t>
      </w:r>
    </w:p>
    <w:p w14:paraId="14425400" w14:textId="36E2CA87" w:rsidR="0086435F" w:rsidRPr="00714782" w:rsidRDefault="0086435F" w:rsidP="00714782">
      <w:pPr>
        <w:ind w:firstLine="708"/>
        <w:jc w:val="both"/>
        <w:rPr>
          <w:i/>
          <w:color w:val="000000" w:themeColor="text1"/>
        </w:rPr>
      </w:pPr>
      <w:r w:rsidRPr="00714782">
        <w:rPr>
          <w:i/>
          <w:color w:val="000000" w:themeColor="text1"/>
        </w:rPr>
        <w:t>c) Les changements de qualité</w:t>
      </w:r>
    </w:p>
    <w:p w14:paraId="32C68D15" w14:textId="77777777" w:rsidR="00485208" w:rsidRDefault="00485208" w:rsidP="00714782">
      <w:pPr>
        <w:pStyle w:val="Normalweb"/>
        <w:spacing w:before="0" w:beforeAutospacing="0" w:after="0" w:afterAutospacing="0"/>
        <w:jc w:val="both"/>
        <w:rPr>
          <w:color w:val="000000" w:themeColor="text1"/>
        </w:rPr>
      </w:pPr>
    </w:p>
    <w:p w14:paraId="4F9D43B0" w14:textId="77777777" w:rsidR="0086435F" w:rsidRPr="00731A19" w:rsidRDefault="0086435F" w:rsidP="00714782">
      <w:pPr>
        <w:pStyle w:val="Normalweb"/>
        <w:spacing w:before="0" w:beforeAutospacing="0" w:after="0" w:afterAutospacing="0"/>
        <w:jc w:val="both"/>
        <w:rPr>
          <w:color w:val="000000" w:themeColor="text1"/>
        </w:rPr>
      </w:pPr>
      <w:bookmarkStart w:id="0" w:name="_GoBack"/>
      <w:bookmarkEnd w:id="0"/>
      <w:r w:rsidRPr="00731A19">
        <w:rPr>
          <w:color w:val="000000" w:themeColor="text1"/>
        </w:rPr>
        <w:t xml:space="preserve">2) L’écart entre l’inflation perçue et l’inflation constatée </w:t>
      </w:r>
    </w:p>
    <w:p w14:paraId="35805CCF" w14:textId="77777777" w:rsidR="00714782" w:rsidRDefault="00714782" w:rsidP="00731A19">
      <w:pPr>
        <w:pStyle w:val="Normalweb"/>
        <w:spacing w:before="0" w:beforeAutospacing="0" w:after="0" w:afterAutospacing="0"/>
        <w:jc w:val="both"/>
        <w:rPr>
          <w:color w:val="1D1D1D"/>
          <w:lang w:eastAsia="en-US"/>
        </w:rPr>
      </w:pPr>
    </w:p>
    <w:p w14:paraId="3949E933" w14:textId="7A6BA0D6" w:rsidR="0086435F" w:rsidRDefault="00714782" w:rsidP="00731A19">
      <w:pPr>
        <w:pStyle w:val="Normalweb"/>
        <w:spacing w:before="0" w:beforeAutospacing="0" w:after="0" w:afterAutospacing="0"/>
        <w:jc w:val="both"/>
        <w:rPr>
          <w:color w:val="1D1D1D"/>
          <w:lang w:eastAsia="en-US"/>
        </w:rPr>
      </w:pPr>
      <w:r w:rsidRPr="00714782">
        <w:rPr>
          <w:color w:val="1D1D1D"/>
          <w:lang w:eastAsia="en-US"/>
        </w:rPr>
        <w:t xml:space="preserve">Insee Focus, </w:t>
      </w:r>
      <w:r w:rsidRPr="00714782">
        <w:rPr>
          <w:i/>
          <w:color w:val="1D1D1D"/>
          <w:lang w:eastAsia="en-US"/>
        </w:rPr>
        <w:t>Une inflati</w:t>
      </w:r>
      <w:r w:rsidR="00EE5F53">
        <w:rPr>
          <w:i/>
          <w:color w:val="1D1D1D"/>
          <w:lang w:eastAsia="en-US"/>
        </w:rPr>
        <w:t>on modér</w:t>
      </w:r>
      <w:r w:rsidRPr="00714782">
        <w:rPr>
          <w:i/>
          <w:color w:val="1D1D1D"/>
          <w:lang w:eastAsia="en-US"/>
        </w:rPr>
        <w:t>ée depuis le passage à l’Euro</w:t>
      </w:r>
      <w:r>
        <w:rPr>
          <w:color w:val="1D1D1D"/>
          <w:lang w:eastAsia="en-US"/>
        </w:rPr>
        <w:t>, </w:t>
      </w:r>
      <w:r w:rsidRPr="00714782">
        <w:rPr>
          <w:color w:val="1D1D1D"/>
          <w:lang w:eastAsia="en-US"/>
        </w:rPr>
        <w:t>2017</w:t>
      </w:r>
    </w:p>
    <w:p w14:paraId="645CCC5E" w14:textId="57191773" w:rsidR="00714782" w:rsidRDefault="00714782" w:rsidP="00731A19">
      <w:pPr>
        <w:pStyle w:val="Normalweb"/>
        <w:spacing w:before="0" w:beforeAutospacing="0" w:after="0" w:afterAutospacing="0"/>
        <w:jc w:val="both"/>
        <w:rPr>
          <w:color w:val="000000" w:themeColor="text1"/>
        </w:rPr>
      </w:pPr>
      <w:r w:rsidRPr="00286DF6">
        <w:rPr>
          <w:color w:val="000000" w:themeColor="text1"/>
        </w:rPr>
        <w:t xml:space="preserve">Dossier Insee, </w:t>
      </w:r>
      <w:r w:rsidRPr="00286DF6">
        <w:rPr>
          <w:i/>
          <w:color w:val="000000" w:themeColor="text1"/>
        </w:rPr>
        <w:t>Inflation perçue, inflation mesurée : des différ</w:t>
      </w:r>
      <w:r>
        <w:rPr>
          <w:i/>
          <w:color w:val="000000" w:themeColor="text1"/>
        </w:rPr>
        <w:t>ences par catégories de ménages</w:t>
      </w:r>
      <w:r w:rsidRPr="00286DF6">
        <w:rPr>
          <w:i/>
          <w:color w:val="000000" w:themeColor="text1"/>
        </w:rPr>
        <w:t xml:space="preserve">? </w:t>
      </w:r>
      <w:r w:rsidRPr="00286DF6">
        <w:rPr>
          <w:color w:val="000000" w:themeColor="text1"/>
        </w:rPr>
        <w:t>Mars 2019</w:t>
      </w:r>
    </w:p>
    <w:p w14:paraId="09DB0CD4" w14:textId="77777777" w:rsidR="00714782" w:rsidRPr="00731A19" w:rsidRDefault="00714782" w:rsidP="00731A19">
      <w:pPr>
        <w:pStyle w:val="Normalweb"/>
        <w:spacing w:before="0" w:beforeAutospacing="0" w:after="0" w:afterAutospacing="0"/>
        <w:jc w:val="both"/>
        <w:rPr>
          <w:color w:val="000000" w:themeColor="text1"/>
        </w:rPr>
      </w:pPr>
    </w:p>
    <w:p w14:paraId="63840CE3" w14:textId="77777777" w:rsidR="0086435F" w:rsidRPr="00731A19" w:rsidRDefault="0086435F" w:rsidP="00731A19">
      <w:pPr>
        <w:pStyle w:val="Normalweb"/>
        <w:spacing w:before="0" w:beforeAutospacing="0" w:after="0" w:afterAutospacing="0"/>
        <w:jc w:val="both"/>
        <w:rPr>
          <w:color w:val="000000" w:themeColor="text1"/>
        </w:rPr>
      </w:pPr>
      <w:r w:rsidRPr="00731A19">
        <w:rPr>
          <w:color w:val="000000" w:themeColor="text1"/>
        </w:rPr>
        <w:t xml:space="preserve">3) Les autres indices et les pistes de réflexion actuelles </w:t>
      </w:r>
    </w:p>
    <w:p w14:paraId="27D0D181" w14:textId="77777777" w:rsidR="0086435F" w:rsidRDefault="0086435F" w:rsidP="00731A19">
      <w:pPr>
        <w:pStyle w:val="Normalweb"/>
        <w:spacing w:before="0" w:beforeAutospacing="0" w:after="0" w:afterAutospacing="0"/>
        <w:jc w:val="both"/>
        <w:rPr>
          <w:color w:val="000000" w:themeColor="text1"/>
        </w:rPr>
      </w:pPr>
    </w:p>
    <w:p w14:paraId="7F6A70E1" w14:textId="77777777" w:rsidR="00714782" w:rsidRPr="00731A19" w:rsidRDefault="00714782" w:rsidP="00731A19">
      <w:pPr>
        <w:pStyle w:val="Normalweb"/>
        <w:spacing w:before="0" w:beforeAutospacing="0" w:after="0" w:afterAutospacing="0"/>
        <w:jc w:val="both"/>
        <w:rPr>
          <w:b/>
          <w:u w:val="single"/>
        </w:rPr>
      </w:pPr>
    </w:p>
    <w:p w14:paraId="11021AF5" w14:textId="7E6BE955" w:rsidR="0086435F" w:rsidRPr="00731A19" w:rsidRDefault="0086435F" w:rsidP="00731A19">
      <w:pPr>
        <w:pStyle w:val="Normalweb"/>
        <w:spacing w:before="0" w:beforeAutospacing="0" w:after="0" w:afterAutospacing="0"/>
        <w:jc w:val="both"/>
        <w:rPr>
          <w:b/>
          <w:u w:val="single"/>
        </w:rPr>
      </w:pPr>
      <w:r w:rsidRPr="00731A19">
        <w:rPr>
          <w:b/>
          <w:u w:val="single"/>
        </w:rPr>
        <w:t xml:space="preserve">II Petite histoire de l’inflation </w:t>
      </w:r>
      <w:r w:rsidR="00592A44">
        <w:rPr>
          <w:b/>
          <w:u w:val="single"/>
        </w:rPr>
        <w:t>(cf fichier)</w:t>
      </w:r>
    </w:p>
    <w:p w14:paraId="18D0DB5C" w14:textId="77777777" w:rsidR="0086435F" w:rsidRPr="00731A19" w:rsidRDefault="0086435F" w:rsidP="00731A19">
      <w:pPr>
        <w:pStyle w:val="Normalweb"/>
        <w:spacing w:before="0" w:beforeAutospacing="0" w:after="0" w:afterAutospacing="0"/>
        <w:jc w:val="both"/>
      </w:pPr>
      <w:r w:rsidRPr="00731A19">
        <w:t>A) Les périodes d’inflation avant le 19</w:t>
      </w:r>
      <w:r w:rsidRPr="00731A19">
        <w:rPr>
          <w:vertAlign w:val="superscript"/>
        </w:rPr>
        <w:t>ème</w:t>
      </w:r>
      <w:r w:rsidRPr="00731A19">
        <w:t xml:space="preserve"> </w:t>
      </w:r>
      <w:r w:rsidRPr="00731A19">
        <w:rPr>
          <w:position w:val="3590"/>
        </w:rPr>
        <w:t xml:space="preserve"> </w:t>
      </w:r>
      <w:r w:rsidRPr="00731A19">
        <w:t xml:space="preserve">siècle </w:t>
      </w:r>
    </w:p>
    <w:p w14:paraId="1F7C0E4C" w14:textId="77777777" w:rsidR="0086435F" w:rsidRPr="00731A19" w:rsidRDefault="0086435F" w:rsidP="00731A19">
      <w:pPr>
        <w:pStyle w:val="articleparagraph"/>
        <w:spacing w:before="0" w:beforeAutospacing="0" w:after="0" w:afterAutospacing="0"/>
        <w:jc w:val="both"/>
        <w:rPr>
          <w:color w:val="000000" w:themeColor="text1"/>
        </w:rPr>
      </w:pPr>
      <w:r w:rsidRPr="00731A19">
        <w:rPr>
          <w:color w:val="000000" w:themeColor="text1"/>
        </w:rPr>
        <w:t xml:space="preserve">1) La loi du maximus </w:t>
      </w:r>
    </w:p>
    <w:p w14:paraId="753D4416" w14:textId="77777777" w:rsidR="0086435F" w:rsidRPr="00731A19" w:rsidRDefault="0086435F" w:rsidP="00731A19">
      <w:pPr>
        <w:pStyle w:val="articleparagraph"/>
        <w:spacing w:before="0" w:beforeAutospacing="0" w:after="0" w:afterAutospacing="0"/>
        <w:jc w:val="both"/>
      </w:pPr>
      <w:r w:rsidRPr="00731A19">
        <w:t>2) La hausse des prix au 16</w:t>
      </w:r>
      <w:r w:rsidRPr="00731A19">
        <w:rPr>
          <w:vertAlign w:val="superscript"/>
        </w:rPr>
        <w:t>ème</w:t>
      </w:r>
      <w:r w:rsidRPr="00731A19">
        <w:t xml:space="preserve"> siècle</w:t>
      </w:r>
    </w:p>
    <w:p w14:paraId="11415B27" w14:textId="77777777" w:rsidR="0086435F" w:rsidRPr="00731A19" w:rsidRDefault="0086435F" w:rsidP="00731A19">
      <w:pPr>
        <w:pStyle w:val="Normalweb"/>
        <w:spacing w:before="0" w:beforeAutospacing="0" w:after="0" w:afterAutospacing="0"/>
        <w:jc w:val="both"/>
      </w:pPr>
      <w:r w:rsidRPr="00731A19">
        <w:t xml:space="preserve">3) Deux exemples célèbres d’inflation au 18ème siècle en France </w:t>
      </w:r>
    </w:p>
    <w:p w14:paraId="512B0EB7" w14:textId="77777777" w:rsidR="00714782" w:rsidRDefault="00714782" w:rsidP="00731A19">
      <w:pPr>
        <w:jc w:val="both"/>
      </w:pPr>
    </w:p>
    <w:p w14:paraId="685F962E" w14:textId="77777777" w:rsidR="0086435F" w:rsidRPr="00731A19" w:rsidRDefault="0086435F" w:rsidP="00731A19">
      <w:pPr>
        <w:jc w:val="both"/>
      </w:pPr>
      <w:r w:rsidRPr="00731A19">
        <w:t>B) Les oscillations de prix au 19</w:t>
      </w:r>
      <w:r w:rsidRPr="00731A19">
        <w:rPr>
          <w:vertAlign w:val="superscript"/>
        </w:rPr>
        <w:t>ème</w:t>
      </w:r>
      <w:r w:rsidRPr="00731A19">
        <w:rPr>
          <w:position w:val="3590"/>
        </w:rPr>
        <w:t xml:space="preserve"> </w:t>
      </w:r>
      <w:r w:rsidRPr="00731A19">
        <w:t>siècle</w:t>
      </w:r>
    </w:p>
    <w:p w14:paraId="2E3962EA" w14:textId="77777777" w:rsidR="0086435F" w:rsidRPr="00731A19" w:rsidRDefault="0086435F" w:rsidP="00731A19">
      <w:pPr>
        <w:jc w:val="both"/>
      </w:pPr>
    </w:p>
    <w:p w14:paraId="6A948897" w14:textId="77777777" w:rsidR="0086435F" w:rsidRPr="00731A19" w:rsidRDefault="0086435F" w:rsidP="00731A19">
      <w:pPr>
        <w:jc w:val="both"/>
      </w:pPr>
      <w:r w:rsidRPr="00731A19">
        <w:t>C) Le 20</w:t>
      </w:r>
      <w:r w:rsidRPr="00731A19">
        <w:rPr>
          <w:vertAlign w:val="superscript"/>
        </w:rPr>
        <w:t>ème</w:t>
      </w:r>
      <w:r w:rsidRPr="00731A19">
        <w:t xml:space="preserve"> siècle : le siècle de l’inflation </w:t>
      </w:r>
    </w:p>
    <w:p w14:paraId="22E15F39" w14:textId="77777777" w:rsidR="0086435F" w:rsidRPr="00731A19" w:rsidRDefault="0086435F" w:rsidP="00731A19">
      <w:pPr>
        <w:jc w:val="both"/>
      </w:pPr>
      <w:r w:rsidRPr="00731A19">
        <w:t>1) L’évolution contrastée des prix de 1914 à 1945</w:t>
      </w:r>
    </w:p>
    <w:p w14:paraId="31DBAEA8" w14:textId="77777777" w:rsidR="0086435F" w:rsidRPr="00731A19" w:rsidRDefault="0086435F" w:rsidP="00731A19">
      <w:pPr>
        <w:jc w:val="both"/>
      </w:pPr>
      <w:r w:rsidRPr="00731A19">
        <w:t>2) La montée de l’inflation : 1945-1980</w:t>
      </w:r>
    </w:p>
    <w:p w14:paraId="29EF5FBD" w14:textId="77777777" w:rsidR="0086435F" w:rsidRPr="00731A19" w:rsidRDefault="0086435F" w:rsidP="00731A19">
      <w:pPr>
        <w:widowControl w:val="0"/>
        <w:autoSpaceDE w:val="0"/>
        <w:autoSpaceDN w:val="0"/>
        <w:adjustRightInd w:val="0"/>
        <w:jc w:val="both"/>
        <w:rPr>
          <w:color w:val="262626"/>
          <w:lang w:eastAsia="en-US"/>
        </w:rPr>
      </w:pPr>
      <w:r w:rsidRPr="00731A19">
        <w:rPr>
          <w:color w:val="262626"/>
          <w:lang w:eastAsia="en-US"/>
        </w:rPr>
        <w:t xml:space="preserve">OCDE, 1970, </w:t>
      </w:r>
      <w:r w:rsidRPr="00731A19">
        <w:rPr>
          <w:i/>
          <w:iCs/>
          <w:color w:val="262626"/>
          <w:lang w:eastAsia="en-US"/>
        </w:rPr>
        <w:t>L’Inflation, le problème actuel</w:t>
      </w:r>
      <w:r w:rsidRPr="00731A19">
        <w:rPr>
          <w:color w:val="262626"/>
          <w:lang w:eastAsia="en-US"/>
        </w:rPr>
        <w:t xml:space="preserve">. </w:t>
      </w:r>
    </w:p>
    <w:p w14:paraId="5F3895A6" w14:textId="77777777" w:rsidR="0086435F" w:rsidRPr="00731A19" w:rsidRDefault="0086435F" w:rsidP="00731A19">
      <w:pPr>
        <w:widowControl w:val="0"/>
        <w:autoSpaceDE w:val="0"/>
        <w:autoSpaceDN w:val="0"/>
        <w:adjustRightInd w:val="0"/>
        <w:jc w:val="both"/>
        <w:rPr>
          <w:color w:val="262626"/>
          <w:lang w:eastAsia="en-US"/>
        </w:rPr>
      </w:pPr>
    </w:p>
    <w:p w14:paraId="557D3688" w14:textId="16C2BF3F" w:rsidR="0086435F" w:rsidRPr="00731A19" w:rsidRDefault="00C942E4" w:rsidP="00731A19">
      <w:pPr>
        <w:widowControl w:val="0"/>
        <w:autoSpaceDE w:val="0"/>
        <w:autoSpaceDN w:val="0"/>
        <w:adjustRightInd w:val="0"/>
        <w:jc w:val="both"/>
        <w:rPr>
          <w:bCs/>
          <w:i/>
          <w:iCs/>
          <w:color w:val="262626"/>
          <w:lang w:eastAsia="en-US"/>
        </w:rPr>
      </w:pPr>
      <w:r>
        <w:rPr>
          <w:bCs/>
          <w:i/>
          <w:iCs/>
          <w:color w:val="262626"/>
          <w:lang w:eastAsia="en-US"/>
        </w:rPr>
        <w:t xml:space="preserve">a) </w:t>
      </w:r>
      <w:r w:rsidR="0086435F" w:rsidRPr="00731A19">
        <w:rPr>
          <w:bCs/>
          <w:i/>
          <w:iCs/>
          <w:color w:val="262626"/>
          <w:lang w:eastAsia="en-US"/>
        </w:rPr>
        <w:t>Une première poussée inflationniste (1968-1973)</w:t>
      </w:r>
    </w:p>
    <w:p w14:paraId="3FA1E84E" w14:textId="482F99DF" w:rsidR="0086435F" w:rsidRPr="00731A19" w:rsidRDefault="00C942E4" w:rsidP="00731A19">
      <w:pPr>
        <w:pStyle w:val="Titre1"/>
        <w:spacing w:before="0"/>
        <w:jc w:val="both"/>
        <w:rPr>
          <w:rFonts w:ascii="Times New Roman" w:eastAsia="Times New Roman" w:hAnsi="Times New Roman" w:cs="Times New Roman"/>
          <w:color w:val="323232"/>
          <w:sz w:val="24"/>
          <w:szCs w:val="24"/>
        </w:rPr>
      </w:pPr>
      <w:r>
        <w:rPr>
          <w:rStyle w:val="Emphase"/>
          <w:rFonts w:ascii="Times New Roman" w:eastAsia="Times New Roman" w:hAnsi="Times New Roman" w:cs="Times New Roman"/>
          <w:color w:val="323232"/>
          <w:sz w:val="24"/>
          <w:szCs w:val="24"/>
        </w:rPr>
        <w:t xml:space="preserve">b) </w:t>
      </w:r>
      <w:r w:rsidR="0086435F" w:rsidRPr="00731A19">
        <w:rPr>
          <w:rStyle w:val="Emphase"/>
          <w:rFonts w:ascii="Times New Roman" w:eastAsia="Times New Roman" w:hAnsi="Times New Roman" w:cs="Times New Roman"/>
          <w:color w:val="323232"/>
          <w:sz w:val="24"/>
          <w:szCs w:val="24"/>
        </w:rPr>
        <w:t>La seconde montée de l’inflation (1974-1980)</w:t>
      </w:r>
    </w:p>
    <w:p w14:paraId="652ECC83" w14:textId="77777777" w:rsidR="00C942E4" w:rsidRDefault="00C942E4" w:rsidP="00731A19">
      <w:pPr>
        <w:jc w:val="both"/>
      </w:pPr>
    </w:p>
    <w:p w14:paraId="6EDDDE4A" w14:textId="77777777" w:rsidR="0086435F" w:rsidRDefault="0086435F" w:rsidP="00731A19">
      <w:pPr>
        <w:jc w:val="both"/>
      </w:pPr>
      <w:r w:rsidRPr="00731A19">
        <w:t>3)La désinflation des années 1980 et au début des années 1990 (1979-1994)</w:t>
      </w:r>
    </w:p>
    <w:p w14:paraId="532E7D4F" w14:textId="77777777" w:rsidR="00C942E4" w:rsidRDefault="00C942E4" w:rsidP="00C942E4">
      <w:pPr>
        <w:widowControl w:val="0"/>
        <w:autoSpaceDE w:val="0"/>
        <w:autoSpaceDN w:val="0"/>
        <w:adjustRightInd w:val="0"/>
        <w:rPr>
          <w:color w:val="000000"/>
          <w:lang w:eastAsia="en-US"/>
        </w:rPr>
      </w:pPr>
    </w:p>
    <w:p w14:paraId="11A52025" w14:textId="7CFEEB21" w:rsidR="00C942E4" w:rsidRPr="00C942E4" w:rsidRDefault="00C942E4" w:rsidP="00C942E4">
      <w:pPr>
        <w:widowControl w:val="0"/>
        <w:autoSpaceDE w:val="0"/>
        <w:autoSpaceDN w:val="0"/>
        <w:adjustRightInd w:val="0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A lire : </w:t>
      </w:r>
      <w:r w:rsidRPr="00C942E4">
        <w:rPr>
          <w:color w:val="000000"/>
          <w:lang w:eastAsia="en-US"/>
        </w:rPr>
        <w:t xml:space="preserve">Banque de France, Bloc notes de l’Eco, </w:t>
      </w:r>
      <w:r w:rsidRPr="00C942E4">
        <w:rPr>
          <w:i/>
          <w:color w:val="000000"/>
          <w:lang w:eastAsia="en-US"/>
        </w:rPr>
        <w:t>L’impact du prix du pétrole sur l’inflation en France et en zone euro</w:t>
      </w:r>
      <w:r>
        <w:rPr>
          <w:i/>
          <w:color w:val="000000"/>
          <w:lang w:eastAsia="en-US"/>
        </w:rPr>
        <w:t xml:space="preserve">, 2018 </w:t>
      </w:r>
    </w:p>
    <w:p w14:paraId="4F68A8E3" w14:textId="77777777" w:rsidR="00C942E4" w:rsidRDefault="00C942E4" w:rsidP="00731A19">
      <w:pPr>
        <w:jc w:val="both"/>
      </w:pPr>
    </w:p>
    <w:p w14:paraId="5C4501CA" w14:textId="77777777" w:rsidR="00C942E4" w:rsidRDefault="00C942E4" w:rsidP="00C942E4">
      <w:pPr>
        <w:pStyle w:val="Normalweb"/>
        <w:spacing w:before="0" w:beforeAutospacing="0" w:after="0" w:afterAutospacing="0"/>
        <w:jc w:val="both"/>
      </w:pPr>
      <w:r>
        <w:t>4) La situation des pays en développement</w:t>
      </w:r>
    </w:p>
    <w:p w14:paraId="6A6C430D" w14:textId="77777777" w:rsidR="00C942E4" w:rsidRDefault="00C942E4" w:rsidP="00731A19">
      <w:pPr>
        <w:jc w:val="both"/>
        <w:rPr>
          <w:color w:val="000000" w:themeColor="text1"/>
        </w:rPr>
      </w:pPr>
    </w:p>
    <w:p w14:paraId="450497EC" w14:textId="03D701CA" w:rsidR="00C942E4" w:rsidRPr="00C942E4" w:rsidRDefault="00C942E4" w:rsidP="00C942E4">
      <w:pPr>
        <w:jc w:val="both"/>
        <w:rPr>
          <w:rFonts w:eastAsia="Times New Roman"/>
          <w:color w:val="000000" w:themeColor="text1"/>
          <w:shd w:val="clear" w:color="auto" w:fill="FFFFFF"/>
        </w:rPr>
      </w:pPr>
      <w:r w:rsidRPr="00C942E4">
        <w:rPr>
          <w:color w:val="000000" w:themeColor="text1"/>
        </w:rPr>
        <w:t xml:space="preserve">Banque mondiale dans un rapport de 2018, </w:t>
      </w:r>
      <w:r w:rsidRPr="00C942E4">
        <w:rPr>
          <w:rFonts w:eastAsia="Times New Roman"/>
          <w:bCs/>
          <w:i/>
          <w:iCs/>
          <w:color w:val="000000" w:themeColor="text1"/>
        </w:rPr>
        <w:t>Inflation in Emerging and Developing Economies: Evolution, Drivers, and Policies</w:t>
      </w:r>
      <w:r w:rsidRPr="00C942E4">
        <w:rPr>
          <w:rFonts w:eastAsia="Times New Roman"/>
          <w:color w:val="000000" w:themeColor="text1"/>
          <w:shd w:val="clear" w:color="auto" w:fill="FFFFFF"/>
        </w:rPr>
        <w:t>,</w:t>
      </w:r>
    </w:p>
    <w:p w14:paraId="631EC1B0" w14:textId="14F390C2" w:rsidR="00C942E4" w:rsidRPr="00C942E4" w:rsidRDefault="00C942E4" w:rsidP="00C942E4">
      <w:pPr>
        <w:widowControl w:val="0"/>
        <w:autoSpaceDE w:val="0"/>
        <w:autoSpaceDN w:val="0"/>
        <w:adjustRightInd w:val="0"/>
        <w:rPr>
          <w:color w:val="000000"/>
          <w:lang w:eastAsia="en-US"/>
        </w:rPr>
      </w:pPr>
      <w:r w:rsidRPr="00C942E4">
        <w:rPr>
          <w:color w:val="000000"/>
          <w:lang w:eastAsia="en-US"/>
        </w:rPr>
        <w:t xml:space="preserve">FMI, </w:t>
      </w:r>
      <w:r w:rsidRPr="00C942E4">
        <w:rPr>
          <w:bCs/>
          <w:i/>
          <w:color w:val="000000"/>
          <w:lang w:eastAsia="en-US"/>
        </w:rPr>
        <w:t>La crédibilité des banques centrales, un atout en période de tensions</w:t>
      </w:r>
      <w:r w:rsidRPr="00C942E4">
        <w:rPr>
          <w:bCs/>
          <w:color w:val="000000"/>
          <w:lang w:eastAsia="en-US"/>
        </w:rPr>
        <w:t> </w:t>
      </w:r>
      <w:r w:rsidRPr="00C942E4">
        <w:rPr>
          <w:color w:val="000000"/>
          <w:lang w:eastAsia="en-US"/>
        </w:rPr>
        <w:t>Rudolfs Bems, Francesca Caselli, Francesco Grigoli</w:t>
      </w:r>
      <w:r>
        <w:rPr>
          <w:color w:val="000000"/>
          <w:lang w:eastAsia="en-US"/>
        </w:rPr>
        <w:t xml:space="preserve">, Bertrand Gruss, Weicheng Lian, </w:t>
      </w:r>
      <w:r w:rsidRPr="00C942E4">
        <w:rPr>
          <w:color w:val="000000"/>
          <w:lang w:eastAsia="en-US"/>
        </w:rPr>
        <w:t xml:space="preserve"> 2018</w:t>
      </w:r>
    </w:p>
    <w:p w14:paraId="56552B0E" w14:textId="77777777" w:rsidR="00C942E4" w:rsidRPr="00731A19" w:rsidRDefault="00C942E4" w:rsidP="00C942E4">
      <w:pPr>
        <w:jc w:val="both"/>
      </w:pPr>
    </w:p>
    <w:p w14:paraId="43279350" w14:textId="77777777" w:rsidR="0086435F" w:rsidRPr="00731A19" w:rsidRDefault="0086435F" w:rsidP="00C942E4">
      <w:pPr>
        <w:pStyle w:val="TM4"/>
        <w:tabs>
          <w:tab w:val="right" w:leader="dot" w:pos="9062"/>
        </w:tabs>
        <w:spacing w:after="0"/>
        <w:ind w:left="0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731A19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5) De « La grande modération » </w:t>
      </w:r>
      <w:r w:rsidRPr="00731A19">
        <w:rPr>
          <w:rStyle w:val="Appelnotedebasdep"/>
          <w:rFonts w:ascii="Times New Roman" w:hAnsi="Times New Roman" w:cs="Times New Roman"/>
          <w:noProof/>
          <w:color w:val="000000" w:themeColor="text1"/>
          <w:sz w:val="24"/>
          <w:szCs w:val="24"/>
        </w:rPr>
        <w:footnoteReference w:id="1"/>
      </w:r>
      <w:r w:rsidRPr="00731A19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(Borio) à la « lowflation »</w:t>
      </w:r>
    </w:p>
    <w:p w14:paraId="2CB51862" w14:textId="77777777" w:rsidR="00C942E4" w:rsidRDefault="00C942E4" w:rsidP="00C942E4">
      <w:pPr>
        <w:widowControl w:val="0"/>
        <w:autoSpaceDE w:val="0"/>
        <w:autoSpaceDN w:val="0"/>
        <w:adjustRightInd w:val="0"/>
        <w:jc w:val="both"/>
        <w:outlineLvl w:val="0"/>
        <w:rPr>
          <w:b/>
          <w:bCs/>
          <w:color w:val="000000" w:themeColor="text1"/>
        </w:rPr>
      </w:pPr>
    </w:p>
    <w:p w14:paraId="51B1CA92" w14:textId="0C333EEC" w:rsidR="00C942E4" w:rsidRPr="00C942E4" w:rsidRDefault="00C942E4" w:rsidP="00C942E4">
      <w:pPr>
        <w:widowControl w:val="0"/>
        <w:autoSpaceDE w:val="0"/>
        <w:autoSpaceDN w:val="0"/>
        <w:adjustRightInd w:val="0"/>
        <w:jc w:val="both"/>
        <w:outlineLvl w:val="0"/>
        <w:rPr>
          <w:bCs/>
          <w:color w:val="000000" w:themeColor="text1"/>
        </w:rPr>
      </w:pPr>
      <w:r w:rsidRPr="00C942E4">
        <w:rPr>
          <w:bCs/>
          <w:color w:val="000000" w:themeColor="text1"/>
        </w:rPr>
        <w:t xml:space="preserve">M-H Duprat, </w:t>
      </w:r>
      <w:r w:rsidRPr="00C942E4">
        <w:rPr>
          <w:bCs/>
          <w:i/>
          <w:color w:val="000000" w:themeColor="text1"/>
        </w:rPr>
        <w:t>La quête de l’inflation disparue</w:t>
      </w:r>
      <w:r w:rsidRPr="00C942E4">
        <w:rPr>
          <w:bCs/>
          <w:color w:val="000000" w:themeColor="text1"/>
        </w:rPr>
        <w:t>, L’économie pour tous, Novembre 2019</w:t>
      </w:r>
    </w:p>
    <w:p w14:paraId="7D7BEE03" w14:textId="2182E405" w:rsidR="0086435F" w:rsidRDefault="0086435F" w:rsidP="00731A19">
      <w:pPr>
        <w:widowControl w:val="0"/>
        <w:autoSpaceDE w:val="0"/>
        <w:autoSpaceDN w:val="0"/>
        <w:adjustRightInd w:val="0"/>
        <w:jc w:val="both"/>
        <w:rPr>
          <w:color w:val="000000"/>
          <w:lang w:val="en-US"/>
        </w:rPr>
      </w:pPr>
      <w:r w:rsidRPr="00731A19">
        <w:rPr>
          <w:color w:val="000000"/>
          <w:lang w:val="en-US"/>
        </w:rPr>
        <w:t xml:space="preserve">FMI (2013), « </w:t>
      </w:r>
      <w:r w:rsidRPr="00C942E4">
        <w:rPr>
          <w:i/>
          <w:color w:val="000000"/>
          <w:lang w:val="en-US"/>
        </w:rPr>
        <w:t>The dog that didn’t bark: Has inflation been muzzled or was it just sleeping?</w:t>
      </w:r>
      <w:r w:rsidRPr="00731A19">
        <w:rPr>
          <w:color w:val="000000"/>
          <w:lang w:val="en-US"/>
        </w:rPr>
        <w:t xml:space="preserve"> », </w:t>
      </w:r>
    </w:p>
    <w:p w14:paraId="7D60CF52" w14:textId="550E6B01" w:rsidR="00C942E4" w:rsidRDefault="00C942E4" w:rsidP="00731A19">
      <w:pPr>
        <w:widowControl w:val="0"/>
        <w:autoSpaceDE w:val="0"/>
        <w:autoSpaceDN w:val="0"/>
        <w:adjustRightInd w:val="0"/>
        <w:jc w:val="both"/>
        <w:rPr>
          <w:color w:val="000000" w:themeColor="text1"/>
          <w:lang w:val="en-US"/>
        </w:rPr>
      </w:pPr>
      <w:r w:rsidRPr="00C942E4">
        <w:rPr>
          <w:color w:val="000000" w:themeColor="text1"/>
          <w:lang w:val="en-US"/>
        </w:rPr>
        <w:t>Ch. Goodhart et M. Pradhan</w:t>
      </w:r>
      <w:r>
        <w:rPr>
          <w:color w:val="000000" w:themeColor="text1"/>
          <w:lang w:val="en-US"/>
        </w:rPr>
        <w:t xml:space="preserve">, </w:t>
      </w:r>
      <w:r w:rsidRPr="00C942E4">
        <w:rPr>
          <w:bCs/>
          <w:i/>
          <w:color w:val="000000" w:themeColor="text1"/>
          <w:kern w:val="36"/>
          <w:lang w:val="en-US"/>
        </w:rPr>
        <w:t>Future imperfect after coronavirus</w:t>
      </w:r>
      <w:r w:rsidRPr="00C942E4">
        <w:rPr>
          <w:bCs/>
          <w:color w:val="000000" w:themeColor="text1"/>
          <w:kern w:val="36"/>
          <w:lang w:val="en-US"/>
        </w:rPr>
        <w:t xml:space="preserve">, </w:t>
      </w:r>
      <w:r w:rsidRPr="00C942E4">
        <w:rPr>
          <w:color w:val="000000" w:themeColor="text1"/>
          <w:lang w:val="en-US"/>
        </w:rPr>
        <w:t>2020</w:t>
      </w:r>
    </w:p>
    <w:p w14:paraId="2E36111B" w14:textId="748439A1" w:rsidR="00B6425B" w:rsidRPr="00B6425B" w:rsidRDefault="00B6425B" w:rsidP="00731A19">
      <w:pPr>
        <w:pStyle w:val="Normalweb"/>
        <w:spacing w:before="0" w:beforeAutospacing="0" w:after="0" w:afterAutospacing="0"/>
        <w:jc w:val="both"/>
        <w:rPr>
          <w:color w:val="000000" w:themeColor="text1"/>
        </w:rPr>
      </w:pPr>
      <w:r w:rsidRPr="00B6425B">
        <w:rPr>
          <w:color w:val="000000" w:themeColor="text1"/>
        </w:rPr>
        <w:t xml:space="preserve">Société Générale, Econote, Novembre 2016, Le vieillissement de la population : risque inflationniste ou déflationniste ? </w:t>
      </w:r>
    </w:p>
    <w:p w14:paraId="0FA3C3A3" w14:textId="28F6D8CC" w:rsidR="00B6425B" w:rsidRPr="00C942E4" w:rsidRDefault="00C942E4" w:rsidP="00731A19">
      <w:pPr>
        <w:pStyle w:val="Normalweb"/>
        <w:spacing w:before="0" w:beforeAutospacing="0" w:after="0" w:afterAutospacing="0"/>
        <w:jc w:val="both"/>
        <w:rPr>
          <w:lang w:val="en-US"/>
        </w:rPr>
      </w:pPr>
      <w:r w:rsidRPr="00C942E4">
        <w:rPr>
          <w:color w:val="000000" w:themeColor="text1"/>
          <w:lang w:val="en-US"/>
        </w:rPr>
        <w:t xml:space="preserve">Alesina et Alii, </w:t>
      </w:r>
      <w:r w:rsidRPr="00C942E4">
        <w:rPr>
          <w:bCs/>
          <w:i/>
          <w:color w:val="000000" w:themeColor="text1"/>
          <w:lang w:val="en-US"/>
        </w:rPr>
        <w:t xml:space="preserve">Structural Reforms and Election Evidence from a World-Wide New Dataset </w:t>
      </w:r>
      <w:r w:rsidRPr="00C942E4">
        <w:rPr>
          <w:i/>
          <w:color w:val="000000" w:themeColor="text1"/>
          <w:lang w:val="en-US"/>
        </w:rPr>
        <w:t>2019</w:t>
      </w:r>
    </w:p>
    <w:p w14:paraId="269C23D0" w14:textId="77777777" w:rsidR="0086435F" w:rsidRPr="00C942E4" w:rsidRDefault="0086435F" w:rsidP="00731A19">
      <w:pPr>
        <w:pStyle w:val="Normalweb"/>
        <w:spacing w:before="0" w:beforeAutospacing="0" w:after="0" w:afterAutospacing="0"/>
        <w:jc w:val="both"/>
        <w:rPr>
          <w:b/>
          <w:u w:val="single"/>
          <w:lang w:val="en-US"/>
        </w:rPr>
      </w:pPr>
    </w:p>
    <w:p w14:paraId="4F169BBB" w14:textId="77777777" w:rsidR="0086435F" w:rsidRPr="00731A19" w:rsidRDefault="0086435F" w:rsidP="00731A19">
      <w:pPr>
        <w:pStyle w:val="Normalweb"/>
        <w:spacing w:before="0" w:beforeAutospacing="0" w:after="0" w:afterAutospacing="0"/>
        <w:jc w:val="both"/>
        <w:rPr>
          <w:b/>
          <w:u w:val="single"/>
        </w:rPr>
      </w:pPr>
      <w:r w:rsidRPr="00731A19">
        <w:rPr>
          <w:b/>
          <w:u w:val="single"/>
        </w:rPr>
        <w:t>III Les causes de l’inflation</w:t>
      </w:r>
    </w:p>
    <w:p w14:paraId="3161457A" w14:textId="77777777" w:rsidR="0086435F" w:rsidRPr="00557440" w:rsidRDefault="0086435F" w:rsidP="00731A19">
      <w:pPr>
        <w:pStyle w:val="Normalweb"/>
        <w:spacing w:before="0" w:beforeAutospacing="0" w:after="0" w:afterAutospacing="0"/>
        <w:jc w:val="both"/>
        <w:rPr>
          <w:b/>
          <w:u w:val="single"/>
        </w:rPr>
      </w:pPr>
      <w:r w:rsidRPr="00557440">
        <w:rPr>
          <w:b/>
        </w:rPr>
        <w:t xml:space="preserve">A) Les théories à fondement réel </w:t>
      </w:r>
    </w:p>
    <w:p w14:paraId="7BB32C6A" w14:textId="77777777" w:rsidR="0086435F" w:rsidRPr="00473E9A" w:rsidRDefault="0086435F" w:rsidP="00731A19">
      <w:pPr>
        <w:pStyle w:val="Normalweb"/>
        <w:spacing w:before="0" w:beforeAutospacing="0" w:after="0" w:afterAutospacing="0"/>
        <w:jc w:val="both"/>
        <w:rPr>
          <w:lang w:val="en-US"/>
        </w:rPr>
      </w:pPr>
      <w:r w:rsidRPr="00473E9A">
        <w:rPr>
          <w:lang w:val="en-US"/>
        </w:rPr>
        <w:t xml:space="preserve">1) L’inflation par la demande </w:t>
      </w:r>
    </w:p>
    <w:p w14:paraId="23BBC935" w14:textId="77777777" w:rsidR="0086435F" w:rsidRPr="00731A19" w:rsidRDefault="0086435F" w:rsidP="00731A19">
      <w:pPr>
        <w:pStyle w:val="Normalweb"/>
        <w:spacing w:before="0" w:beforeAutospacing="0" w:after="0" w:afterAutospacing="0"/>
        <w:jc w:val="both"/>
        <w:rPr>
          <w:lang w:val="en-US"/>
        </w:rPr>
      </w:pPr>
      <w:r w:rsidRPr="00731A19">
        <w:rPr>
          <w:lang w:val="en-US"/>
        </w:rPr>
        <w:t xml:space="preserve">Keynes, 1940, </w:t>
      </w:r>
      <w:r w:rsidRPr="00731A19">
        <w:rPr>
          <w:i/>
          <w:lang w:val="en-US"/>
        </w:rPr>
        <w:t>How to pay for the War</w:t>
      </w:r>
    </w:p>
    <w:p w14:paraId="46FF9947" w14:textId="77777777" w:rsidR="00557440" w:rsidRPr="00592A44" w:rsidRDefault="00557440" w:rsidP="00731A19">
      <w:pPr>
        <w:pStyle w:val="Normalweb"/>
        <w:spacing w:before="0" w:beforeAutospacing="0" w:after="0" w:afterAutospacing="0"/>
        <w:jc w:val="both"/>
        <w:rPr>
          <w:lang w:val="en-US"/>
        </w:rPr>
      </w:pPr>
    </w:p>
    <w:p w14:paraId="7622C2E7" w14:textId="77777777" w:rsidR="0086435F" w:rsidRPr="00473E9A" w:rsidRDefault="0086435F" w:rsidP="00731A19">
      <w:pPr>
        <w:pStyle w:val="Normalweb"/>
        <w:spacing w:before="0" w:beforeAutospacing="0" w:after="0" w:afterAutospacing="0"/>
        <w:jc w:val="both"/>
      </w:pPr>
      <w:r w:rsidRPr="00473E9A">
        <w:t xml:space="preserve">2) L’inflation par les coûts </w:t>
      </w:r>
    </w:p>
    <w:p w14:paraId="2E9C1127" w14:textId="77777777" w:rsidR="0086435F" w:rsidRDefault="0086435F" w:rsidP="00731A19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731A19">
        <w:rPr>
          <w:color w:val="000000"/>
        </w:rPr>
        <w:t xml:space="preserve">3) La courbe de Phillips et ses critiques </w:t>
      </w:r>
    </w:p>
    <w:p w14:paraId="52B6F691" w14:textId="77777777" w:rsidR="0086435F" w:rsidRPr="00C942E4" w:rsidRDefault="0086435F" w:rsidP="00731A19">
      <w:pPr>
        <w:widowControl w:val="0"/>
        <w:autoSpaceDE w:val="0"/>
        <w:autoSpaceDN w:val="0"/>
        <w:adjustRightInd w:val="0"/>
        <w:jc w:val="both"/>
        <w:rPr>
          <w:i/>
          <w:color w:val="000000"/>
        </w:rPr>
      </w:pPr>
      <w:r w:rsidRPr="00C942E4">
        <w:rPr>
          <w:i/>
          <w:color w:val="000000"/>
        </w:rPr>
        <w:t xml:space="preserve">a) De la relation de Phillips à la courbe de Phillips </w:t>
      </w:r>
    </w:p>
    <w:p w14:paraId="34C101A3" w14:textId="64493F0E" w:rsidR="0086435F" w:rsidRPr="00C942E4" w:rsidRDefault="0086435F" w:rsidP="00731A19">
      <w:pPr>
        <w:widowControl w:val="0"/>
        <w:autoSpaceDE w:val="0"/>
        <w:autoSpaceDN w:val="0"/>
        <w:adjustRightInd w:val="0"/>
        <w:jc w:val="both"/>
        <w:rPr>
          <w:i/>
          <w:color w:val="000000"/>
        </w:rPr>
      </w:pPr>
      <w:r w:rsidRPr="00C942E4">
        <w:rPr>
          <w:i/>
          <w:color w:val="000000"/>
        </w:rPr>
        <w:t>b) La courbe de Phillips augmentée des anticipations adaptatives puis rationnelles</w:t>
      </w:r>
    </w:p>
    <w:p w14:paraId="6B68A70C" w14:textId="77777777" w:rsidR="0086435F" w:rsidRDefault="0086435F" w:rsidP="00731A19">
      <w:pPr>
        <w:widowControl w:val="0"/>
        <w:autoSpaceDE w:val="0"/>
        <w:autoSpaceDN w:val="0"/>
        <w:adjustRightInd w:val="0"/>
        <w:jc w:val="both"/>
        <w:rPr>
          <w:i/>
          <w:color w:val="000000"/>
        </w:rPr>
      </w:pPr>
      <w:r w:rsidRPr="00C942E4">
        <w:rPr>
          <w:i/>
          <w:color w:val="000000"/>
        </w:rPr>
        <w:t xml:space="preserve">c) Ce qu’il reste de la courbe de Phillips aujourd’hui </w:t>
      </w:r>
    </w:p>
    <w:p w14:paraId="6904ED9A" w14:textId="77777777" w:rsidR="00C942E4" w:rsidRDefault="00C942E4" w:rsidP="00731A19">
      <w:pPr>
        <w:widowControl w:val="0"/>
        <w:autoSpaceDE w:val="0"/>
        <w:autoSpaceDN w:val="0"/>
        <w:adjustRightInd w:val="0"/>
        <w:jc w:val="both"/>
        <w:rPr>
          <w:i/>
          <w:color w:val="000000"/>
        </w:rPr>
      </w:pPr>
    </w:p>
    <w:p w14:paraId="7CC25CF5" w14:textId="77777777" w:rsidR="00557440" w:rsidRPr="00C942E4" w:rsidRDefault="00557440" w:rsidP="00557440">
      <w:pPr>
        <w:widowControl w:val="0"/>
        <w:autoSpaceDE w:val="0"/>
        <w:autoSpaceDN w:val="0"/>
        <w:adjustRightInd w:val="0"/>
        <w:jc w:val="both"/>
        <w:rPr>
          <w:color w:val="000000"/>
          <w:lang w:val="en-US"/>
        </w:rPr>
      </w:pPr>
      <w:r w:rsidRPr="00C942E4">
        <w:rPr>
          <w:color w:val="000000"/>
          <w:lang w:val="en-US"/>
        </w:rPr>
        <w:t xml:space="preserve">FRIEDMAN, Milton (1968), « </w:t>
      </w:r>
      <w:r w:rsidRPr="00C942E4">
        <w:rPr>
          <w:i/>
          <w:color w:val="000000"/>
          <w:lang w:val="en-US"/>
        </w:rPr>
        <w:t xml:space="preserve">The Role of Monetary Policy </w:t>
      </w:r>
      <w:r>
        <w:rPr>
          <w:color w:val="000000"/>
          <w:lang w:val="en-US"/>
        </w:rPr>
        <w:t>»</w:t>
      </w:r>
    </w:p>
    <w:p w14:paraId="47751BCA" w14:textId="77777777" w:rsidR="00557440" w:rsidRPr="00C942E4" w:rsidRDefault="00557440" w:rsidP="00557440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C942E4">
        <w:rPr>
          <w:color w:val="000000"/>
        </w:rPr>
        <w:t xml:space="preserve">LE BIHAN, Hervé (2009), « </w:t>
      </w:r>
      <w:r w:rsidRPr="00C942E4">
        <w:rPr>
          <w:i/>
          <w:color w:val="000000"/>
        </w:rPr>
        <w:t>1958-2008, avatars et enjeux de la courbe de Phillips</w:t>
      </w:r>
      <w:r>
        <w:rPr>
          <w:color w:val="000000"/>
        </w:rPr>
        <w:t xml:space="preserve"> »</w:t>
      </w:r>
    </w:p>
    <w:p w14:paraId="72B7E6BA" w14:textId="77777777" w:rsidR="00557440" w:rsidRPr="00C942E4" w:rsidRDefault="00557440" w:rsidP="00557440">
      <w:pPr>
        <w:widowControl w:val="0"/>
        <w:autoSpaceDE w:val="0"/>
        <w:autoSpaceDN w:val="0"/>
        <w:adjustRightInd w:val="0"/>
        <w:jc w:val="both"/>
        <w:rPr>
          <w:color w:val="000000"/>
          <w:lang w:val="en-US"/>
        </w:rPr>
      </w:pPr>
      <w:r w:rsidRPr="00C942E4">
        <w:rPr>
          <w:color w:val="000000"/>
          <w:lang w:val="en-US"/>
        </w:rPr>
        <w:t>LIPSEY, Richard (1960), « The relation between unemployment and the rate of change of money wage rates in the United Kingdom, 1</w:t>
      </w:r>
      <w:r>
        <w:rPr>
          <w:color w:val="000000"/>
          <w:lang w:val="en-US"/>
        </w:rPr>
        <w:t>862-1957: A further analysis »</w:t>
      </w:r>
    </w:p>
    <w:p w14:paraId="141B5F51" w14:textId="77777777" w:rsidR="00557440" w:rsidRPr="00C942E4" w:rsidRDefault="00557440" w:rsidP="00557440">
      <w:pPr>
        <w:widowControl w:val="0"/>
        <w:autoSpaceDE w:val="0"/>
        <w:autoSpaceDN w:val="0"/>
        <w:adjustRightInd w:val="0"/>
        <w:jc w:val="both"/>
        <w:rPr>
          <w:color w:val="000000"/>
          <w:lang w:val="en-US"/>
        </w:rPr>
      </w:pPr>
      <w:r w:rsidRPr="00C942E4">
        <w:rPr>
          <w:color w:val="000000"/>
          <w:lang w:val="en-US"/>
        </w:rPr>
        <w:t>PHELPS, Edmund S. (1967), « Phillips curves, expectations of inflation, and optimal unemployment over time</w:t>
      </w:r>
      <w:r>
        <w:rPr>
          <w:color w:val="000000"/>
          <w:lang w:val="en-US"/>
        </w:rPr>
        <w:t xml:space="preserve"> »</w:t>
      </w:r>
    </w:p>
    <w:p w14:paraId="79244FB5" w14:textId="77777777" w:rsidR="00557440" w:rsidRPr="00C942E4" w:rsidRDefault="00557440" w:rsidP="00557440">
      <w:pPr>
        <w:widowControl w:val="0"/>
        <w:autoSpaceDE w:val="0"/>
        <w:autoSpaceDN w:val="0"/>
        <w:adjustRightInd w:val="0"/>
        <w:jc w:val="both"/>
        <w:rPr>
          <w:color w:val="000000"/>
          <w:lang w:val="en-US"/>
        </w:rPr>
      </w:pPr>
      <w:r w:rsidRPr="00C942E4">
        <w:rPr>
          <w:color w:val="000000"/>
          <w:lang w:val="en-US"/>
        </w:rPr>
        <w:t>PHILLIPS, A. William (1958), « The relation between unemployment and the rate of change of mone</w:t>
      </w:r>
      <w:r>
        <w:rPr>
          <w:color w:val="000000"/>
          <w:lang w:val="en-US"/>
        </w:rPr>
        <w:t>y wages in the UK, 1861-1957 »</w:t>
      </w:r>
    </w:p>
    <w:p w14:paraId="0112D62F" w14:textId="77777777" w:rsidR="00557440" w:rsidRDefault="00557440" w:rsidP="00557440">
      <w:pPr>
        <w:widowControl w:val="0"/>
        <w:autoSpaceDE w:val="0"/>
        <w:autoSpaceDN w:val="0"/>
        <w:adjustRightInd w:val="0"/>
        <w:jc w:val="both"/>
        <w:rPr>
          <w:color w:val="000000"/>
          <w:lang w:val="en-US"/>
        </w:rPr>
      </w:pPr>
    </w:p>
    <w:p w14:paraId="4AAF6D44" w14:textId="77777777" w:rsidR="00557440" w:rsidRPr="00C942E4" w:rsidRDefault="00557440" w:rsidP="00557440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  <w:lang w:eastAsia="en-US"/>
        </w:rPr>
        <w:t xml:space="preserve">Pour approfondir sur la macro : </w:t>
      </w:r>
      <w:r w:rsidRPr="00C942E4">
        <w:rPr>
          <w:color w:val="000000"/>
          <w:lang w:eastAsia="en-US"/>
        </w:rPr>
        <w:t xml:space="preserve">Mignon V. (2010), </w:t>
      </w:r>
      <w:r w:rsidRPr="00C942E4">
        <w:rPr>
          <w:i/>
          <w:iCs/>
          <w:color w:val="000000"/>
          <w:lang w:eastAsia="en-US"/>
        </w:rPr>
        <w:t>La macroéconomie après Keynes</w:t>
      </w:r>
      <w:r w:rsidRPr="00C942E4">
        <w:rPr>
          <w:color w:val="000000"/>
          <w:lang w:eastAsia="en-US"/>
        </w:rPr>
        <w:t>, Repères, La Découverte</w:t>
      </w:r>
    </w:p>
    <w:p w14:paraId="5FCAA900" w14:textId="77777777" w:rsidR="00557440" w:rsidRPr="00C942E4" w:rsidRDefault="00557440" w:rsidP="00731A19">
      <w:pPr>
        <w:widowControl w:val="0"/>
        <w:autoSpaceDE w:val="0"/>
        <w:autoSpaceDN w:val="0"/>
        <w:adjustRightInd w:val="0"/>
        <w:jc w:val="both"/>
        <w:rPr>
          <w:i/>
          <w:color w:val="000000"/>
        </w:rPr>
      </w:pPr>
    </w:p>
    <w:p w14:paraId="28DD7996" w14:textId="77777777" w:rsidR="0086435F" w:rsidRPr="00731A19" w:rsidRDefault="0086435F" w:rsidP="00731A19">
      <w:pPr>
        <w:widowControl w:val="0"/>
        <w:autoSpaceDE w:val="0"/>
        <w:autoSpaceDN w:val="0"/>
        <w:adjustRightInd w:val="0"/>
        <w:spacing w:line="340" w:lineRule="atLeast"/>
        <w:jc w:val="both"/>
        <w:rPr>
          <w:rFonts w:eastAsia="MS Mincho"/>
          <w:color w:val="000000"/>
          <w:lang w:eastAsia="en-US"/>
        </w:rPr>
      </w:pPr>
      <w:r w:rsidRPr="00731A19">
        <w:rPr>
          <w:color w:val="000000"/>
          <w:lang w:eastAsia="en-US"/>
        </w:rPr>
        <w:t>4) L’inflation par les structures</w:t>
      </w:r>
      <w:r w:rsidRPr="00731A19">
        <w:rPr>
          <w:rFonts w:eastAsia="MS Mincho"/>
          <w:color w:val="000000"/>
          <w:lang w:eastAsia="en-US"/>
        </w:rPr>
        <w:t> </w:t>
      </w:r>
    </w:p>
    <w:p w14:paraId="113998BF" w14:textId="4C26FD67" w:rsidR="00197BA4" w:rsidRPr="00C942E4" w:rsidRDefault="00197BA4" w:rsidP="00197BA4">
      <w:pPr>
        <w:widowControl w:val="0"/>
        <w:autoSpaceDE w:val="0"/>
        <w:autoSpaceDN w:val="0"/>
        <w:adjustRightInd w:val="0"/>
        <w:jc w:val="both"/>
        <w:rPr>
          <w:color w:val="FF0000"/>
          <w:lang w:eastAsia="en-US"/>
        </w:rPr>
      </w:pPr>
      <w:r w:rsidRPr="00C942E4">
        <w:rPr>
          <w:rFonts w:eastAsia="Times New Roman"/>
          <w:color w:val="323232"/>
        </w:rPr>
        <w:t>A</w:t>
      </w:r>
      <w:r w:rsidRPr="00C942E4">
        <w:rPr>
          <w:rStyle w:val="marquage"/>
          <w:rFonts w:eastAsia="Times New Roman"/>
          <w:color w:val="323232"/>
        </w:rPr>
        <w:t>glietta</w:t>
      </w:r>
      <w:r w:rsidRPr="00C942E4">
        <w:rPr>
          <w:rStyle w:val="apple-converted-space"/>
          <w:rFonts w:eastAsia="Times New Roman"/>
          <w:color w:val="323232"/>
        </w:rPr>
        <w:t> </w:t>
      </w:r>
      <w:r w:rsidRPr="00C942E4">
        <w:rPr>
          <w:rFonts w:eastAsia="Times New Roman"/>
          <w:color w:val="323232"/>
        </w:rPr>
        <w:t>M. et O</w:t>
      </w:r>
      <w:r w:rsidRPr="00C942E4">
        <w:rPr>
          <w:rStyle w:val="marquage"/>
          <w:rFonts w:eastAsia="Times New Roman"/>
          <w:color w:val="323232"/>
        </w:rPr>
        <w:t>rléan</w:t>
      </w:r>
      <w:r w:rsidRPr="00C942E4">
        <w:rPr>
          <w:rStyle w:val="apple-converted-space"/>
          <w:rFonts w:eastAsia="Times New Roman"/>
          <w:color w:val="323232"/>
        </w:rPr>
        <w:t> </w:t>
      </w:r>
      <w:r w:rsidRPr="00C942E4">
        <w:rPr>
          <w:rFonts w:eastAsia="Times New Roman"/>
          <w:color w:val="323232"/>
        </w:rPr>
        <w:t>A.,</w:t>
      </w:r>
      <w:r w:rsidRPr="00C942E4">
        <w:rPr>
          <w:rStyle w:val="apple-converted-space"/>
          <w:rFonts w:eastAsia="Times New Roman"/>
          <w:i/>
          <w:iCs/>
          <w:color w:val="323232"/>
        </w:rPr>
        <w:t> </w:t>
      </w:r>
      <w:r w:rsidRPr="00C942E4">
        <w:rPr>
          <w:rStyle w:val="Emphase"/>
          <w:rFonts w:eastAsia="Times New Roman"/>
          <w:color w:val="323232"/>
        </w:rPr>
        <w:t>La Violence de la monnaie</w:t>
      </w:r>
      <w:r w:rsidRPr="00C942E4">
        <w:rPr>
          <w:rFonts w:eastAsia="Times New Roman"/>
          <w:color w:val="323232"/>
        </w:rPr>
        <w:t>, 1982.</w:t>
      </w:r>
    </w:p>
    <w:p w14:paraId="7FB61079" w14:textId="04870DBF" w:rsidR="00197BA4" w:rsidRPr="00C942E4" w:rsidRDefault="00C942E4" w:rsidP="00731A19">
      <w:pPr>
        <w:widowControl w:val="0"/>
        <w:autoSpaceDE w:val="0"/>
        <w:autoSpaceDN w:val="0"/>
        <w:adjustRightInd w:val="0"/>
        <w:jc w:val="both"/>
        <w:rPr>
          <w:color w:val="FF0000"/>
          <w:lang w:eastAsia="en-US"/>
        </w:rPr>
      </w:pPr>
      <w:r w:rsidRPr="00C942E4">
        <w:rPr>
          <w:rFonts w:eastAsia="Times New Roman"/>
          <w:color w:val="323232"/>
        </w:rPr>
        <w:t xml:space="preserve">R. Boyer, </w:t>
      </w:r>
      <w:r w:rsidRPr="00C942E4">
        <w:rPr>
          <w:rFonts w:eastAsia="Times New Roman"/>
          <w:i/>
          <w:color w:val="323232"/>
        </w:rPr>
        <w:t>Economie politique des capitalismes</w:t>
      </w:r>
      <w:r w:rsidRPr="00C942E4">
        <w:rPr>
          <w:rFonts w:eastAsia="Times New Roman"/>
          <w:color w:val="323232"/>
        </w:rPr>
        <w:t xml:space="preserve">, 2015 </w:t>
      </w:r>
    </w:p>
    <w:p w14:paraId="3A0166B5" w14:textId="77777777" w:rsidR="00557440" w:rsidRDefault="00557440" w:rsidP="00731A19">
      <w:pPr>
        <w:widowControl w:val="0"/>
        <w:autoSpaceDE w:val="0"/>
        <w:autoSpaceDN w:val="0"/>
        <w:adjustRightInd w:val="0"/>
        <w:spacing w:line="340" w:lineRule="atLeast"/>
        <w:jc w:val="both"/>
        <w:rPr>
          <w:color w:val="000000"/>
          <w:lang w:eastAsia="en-US"/>
        </w:rPr>
      </w:pPr>
    </w:p>
    <w:p w14:paraId="1DBA4D3E" w14:textId="77777777" w:rsidR="0086435F" w:rsidRPr="00557440" w:rsidRDefault="0086435F" w:rsidP="00731A19">
      <w:pPr>
        <w:widowControl w:val="0"/>
        <w:autoSpaceDE w:val="0"/>
        <w:autoSpaceDN w:val="0"/>
        <w:adjustRightInd w:val="0"/>
        <w:spacing w:line="340" w:lineRule="atLeast"/>
        <w:jc w:val="both"/>
        <w:rPr>
          <w:b/>
          <w:color w:val="000000"/>
          <w:lang w:eastAsia="en-US"/>
        </w:rPr>
      </w:pPr>
      <w:r w:rsidRPr="00557440">
        <w:rPr>
          <w:b/>
          <w:color w:val="000000"/>
          <w:lang w:eastAsia="en-US"/>
        </w:rPr>
        <w:t xml:space="preserve">B) L’inflation par la monnaie </w:t>
      </w:r>
    </w:p>
    <w:p w14:paraId="0F31FE32" w14:textId="71E51858" w:rsidR="0086435F" w:rsidRPr="00731A19" w:rsidRDefault="00557440" w:rsidP="00731A19">
      <w:pPr>
        <w:widowControl w:val="0"/>
        <w:autoSpaceDE w:val="0"/>
        <w:autoSpaceDN w:val="0"/>
        <w:adjustRightInd w:val="0"/>
        <w:spacing w:line="340" w:lineRule="atLeast"/>
        <w:jc w:val="both"/>
        <w:rPr>
          <w:rFonts w:eastAsia="MS Mincho"/>
          <w:color w:val="000000"/>
          <w:lang w:eastAsia="en-US"/>
        </w:rPr>
      </w:pPr>
      <w:r>
        <w:rPr>
          <w:color w:val="000000"/>
          <w:lang w:eastAsia="en-US"/>
        </w:rPr>
        <w:lastRenderedPageBreak/>
        <w:t>1</w:t>
      </w:r>
      <w:r w:rsidR="0086435F" w:rsidRPr="00731A19">
        <w:rPr>
          <w:color w:val="000000"/>
          <w:lang w:eastAsia="en-US"/>
        </w:rPr>
        <w:t xml:space="preserve">) L’inflation, phénomène monétaire </w:t>
      </w:r>
    </w:p>
    <w:p w14:paraId="0BF18043" w14:textId="7CE3CA0C" w:rsidR="0086435F" w:rsidRPr="00731A19" w:rsidRDefault="0086435F" w:rsidP="00731A19">
      <w:pPr>
        <w:pStyle w:val="Normalweb"/>
        <w:spacing w:before="0" w:beforeAutospacing="0" w:after="0" w:afterAutospacing="0"/>
        <w:jc w:val="both"/>
      </w:pPr>
    </w:p>
    <w:p w14:paraId="4AD23161" w14:textId="0D4F1661" w:rsidR="0086435F" w:rsidRPr="00731A19" w:rsidRDefault="00557440" w:rsidP="00731A19">
      <w:pPr>
        <w:widowControl w:val="0"/>
        <w:autoSpaceDE w:val="0"/>
        <w:autoSpaceDN w:val="0"/>
        <w:adjustRightInd w:val="0"/>
        <w:jc w:val="both"/>
        <w:rPr>
          <w:rFonts w:eastAsia="MS Mincho"/>
          <w:color w:val="000000"/>
          <w:lang w:eastAsia="en-US"/>
        </w:rPr>
      </w:pPr>
      <w:r>
        <w:rPr>
          <w:color w:val="000000"/>
          <w:lang w:eastAsia="en-US"/>
        </w:rPr>
        <w:t>2</w:t>
      </w:r>
      <w:r w:rsidR="0086435F" w:rsidRPr="00731A19">
        <w:rPr>
          <w:color w:val="000000"/>
          <w:lang w:eastAsia="en-US"/>
        </w:rPr>
        <w:t>) la théorie quantitative de la monnaie</w:t>
      </w:r>
    </w:p>
    <w:p w14:paraId="4D8AAF8F" w14:textId="555DE185" w:rsidR="00557440" w:rsidRDefault="00170642" w:rsidP="00731A19">
      <w:pPr>
        <w:widowControl w:val="0"/>
        <w:autoSpaceDE w:val="0"/>
        <w:autoSpaceDN w:val="0"/>
        <w:adjustRightInd w:val="0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Irving Fisher, </w:t>
      </w:r>
      <w:r w:rsidRPr="00557440">
        <w:rPr>
          <w:color w:val="000000"/>
          <w:lang w:eastAsia="en-US"/>
        </w:rPr>
        <w:t>1911</w:t>
      </w:r>
      <w:r>
        <w:rPr>
          <w:color w:val="000000"/>
          <w:lang w:eastAsia="en-US"/>
        </w:rPr>
        <w:t xml:space="preserve">, </w:t>
      </w:r>
      <w:r w:rsidR="00557440" w:rsidRPr="00170642">
        <w:rPr>
          <w:i/>
          <w:color w:val="000000"/>
          <w:lang w:eastAsia="en-US"/>
        </w:rPr>
        <w:t>Le pouvoir d’achat de la monnaie</w:t>
      </w:r>
      <w:r w:rsidR="00557440" w:rsidRPr="00557440">
        <w:rPr>
          <w:color w:val="000000"/>
          <w:lang w:eastAsia="en-US"/>
        </w:rPr>
        <w:t xml:space="preserve">, </w:t>
      </w:r>
    </w:p>
    <w:p w14:paraId="7CBD2210" w14:textId="31B018CF" w:rsidR="0086435F" w:rsidRDefault="00840EFA" w:rsidP="00731A19">
      <w:pPr>
        <w:widowControl w:val="0"/>
        <w:autoSpaceDE w:val="0"/>
        <w:autoSpaceDN w:val="0"/>
        <w:adjustRightInd w:val="0"/>
        <w:jc w:val="both"/>
        <w:rPr>
          <w:color w:val="000000"/>
          <w:lang w:eastAsia="en-US"/>
        </w:rPr>
      </w:pPr>
      <w:r w:rsidRPr="00731A19">
        <w:rPr>
          <w:color w:val="000000"/>
          <w:lang w:eastAsia="en-US"/>
        </w:rPr>
        <w:t xml:space="preserve">Friedman, </w:t>
      </w:r>
      <w:r w:rsidR="0086435F" w:rsidRPr="00731A19">
        <w:rPr>
          <w:color w:val="000000"/>
          <w:lang w:eastAsia="en-US"/>
        </w:rPr>
        <w:t xml:space="preserve">1956 </w:t>
      </w:r>
      <w:r w:rsidR="0086435F" w:rsidRPr="00731A19">
        <w:rPr>
          <w:i/>
          <w:color w:val="000000"/>
          <w:lang w:eastAsia="en-US"/>
        </w:rPr>
        <w:t>Théorie quantitative de la monnaie : une nouvelle formulation</w:t>
      </w:r>
    </w:p>
    <w:p w14:paraId="4BB49098" w14:textId="77777777" w:rsidR="00557440" w:rsidRPr="00731A19" w:rsidRDefault="00557440" w:rsidP="00731A19">
      <w:pPr>
        <w:widowControl w:val="0"/>
        <w:autoSpaceDE w:val="0"/>
        <w:autoSpaceDN w:val="0"/>
        <w:adjustRightInd w:val="0"/>
        <w:jc w:val="both"/>
        <w:rPr>
          <w:color w:val="000000"/>
          <w:lang w:eastAsia="en-US"/>
        </w:rPr>
      </w:pPr>
    </w:p>
    <w:p w14:paraId="285AB71A" w14:textId="0B8BFE08" w:rsidR="0086435F" w:rsidRPr="00731A19" w:rsidRDefault="00170642" w:rsidP="00731A19">
      <w:pPr>
        <w:widowControl w:val="0"/>
        <w:autoSpaceDE w:val="0"/>
        <w:autoSpaceDN w:val="0"/>
        <w:adjustRightInd w:val="0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3</w:t>
      </w:r>
      <w:r w:rsidR="0086435F" w:rsidRPr="00731A19">
        <w:rPr>
          <w:color w:val="000000"/>
          <w:lang w:eastAsia="en-US"/>
        </w:rPr>
        <w:t>) Le lien entre la monnaie et les autres causes d’inflation</w:t>
      </w:r>
    </w:p>
    <w:p w14:paraId="186C92CA" w14:textId="77777777" w:rsidR="0086435F" w:rsidRPr="00731A19" w:rsidRDefault="0086435F" w:rsidP="00731A19">
      <w:pPr>
        <w:widowControl w:val="0"/>
        <w:autoSpaceDE w:val="0"/>
        <w:autoSpaceDN w:val="0"/>
        <w:adjustRightInd w:val="0"/>
        <w:jc w:val="both"/>
        <w:rPr>
          <w:color w:val="000000"/>
          <w:lang w:eastAsia="en-US"/>
        </w:rPr>
      </w:pPr>
    </w:p>
    <w:p w14:paraId="1848021D" w14:textId="7CC38395" w:rsidR="0086435F" w:rsidRPr="00170642" w:rsidRDefault="006717F6" w:rsidP="00731A19">
      <w:pPr>
        <w:widowControl w:val="0"/>
        <w:autoSpaceDE w:val="0"/>
        <w:autoSpaceDN w:val="0"/>
        <w:adjustRightInd w:val="0"/>
        <w:jc w:val="both"/>
        <w:rPr>
          <w:b/>
          <w:color w:val="000000"/>
          <w:lang w:eastAsia="en-US"/>
        </w:rPr>
      </w:pPr>
      <w:r>
        <w:rPr>
          <w:b/>
          <w:color w:val="000000"/>
          <w:lang w:eastAsia="en-US"/>
        </w:rPr>
        <w:t>C</w:t>
      </w:r>
      <w:r w:rsidR="0086435F" w:rsidRPr="00170642">
        <w:rPr>
          <w:b/>
          <w:color w:val="000000"/>
          <w:lang w:eastAsia="en-US"/>
        </w:rPr>
        <w:t xml:space="preserve">) Les mécanismes de transmission d’un choc monétaire </w:t>
      </w:r>
    </w:p>
    <w:p w14:paraId="1D85C4E4" w14:textId="77777777" w:rsidR="0086435F" w:rsidRPr="00731A19" w:rsidRDefault="0086435F" w:rsidP="00731A19">
      <w:pPr>
        <w:widowControl w:val="0"/>
        <w:autoSpaceDE w:val="0"/>
        <w:autoSpaceDN w:val="0"/>
        <w:adjustRightInd w:val="0"/>
        <w:jc w:val="both"/>
        <w:rPr>
          <w:color w:val="000000"/>
          <w:lang w:eastAsia="en-US"/>
        </w:rPr>
      </w:pPr>
    </w:p>
    <w:p w14:paraId="2FDF14B4" w14:textId="5BEE31E3" w:rsidR="0086435F" w:rsidRPr="00731A19" w:rsidRDefault="00170642" w:rsidP="00731A19">
      <w:pPr>
        <w:widowControl w:val="0"/>
        <w:autoSpaceDE w:val="0"/>
        <w:autoSpaceDN w:val="0"/>
        <w:adjustRightInd w:val="0"/>
        <w:jc w:val="both"/>
        <w:rPr>
          <w:rFonts w:eastAsia="MS Mincho"/>
          <w:color w:val="000000"/>
          <w:lang w:eastAsia="en-US"/>
        </w:rPr>
      </w:pPr>
      <w:r>
        <w:rPr>
          <w:color w:val="000000"/>
          <w:lang w:eastAsia="en-US"/>
        </w:rPr>
        <w:t>1</w:t>
      </w:r>
      <w:r w:rsidR="0086435F" w:rsidRPr="00731A19">
        <w:rPr>
          <w:color w:val="000000"/>
          <w:lang w:eastAsia="en-US"/>
        </w:rPr>
        <w:t>) Le cœur du processus</w:t>
      </w:r>
    </w:p>
    <w:p w14:paraId="1C2A07DF" w14:textId="77777777" w:rsidR="0086435F" w:rsidRPr="00731A19" w:rsidRDefault="0086435F" w:rsidP="00731A19">
      <w:pPr>
        <w:widowControl w:val="0"/>
        <w:autoSpaceDE w:val="0"/>
        <w:autoSpaceDN w:val="0"/>
        <w:adjustRightInd w:val="0"/>
        <w:jc w:val="both"/>
        <w:rPr>
          <w:rFonts w:eastAsia="MS Mincho"/>
          <w:color w:val="000000"/>
          <w:lang w:eastAsia="en-US"/>
        </w:rPr>
      </w:pPr>
    </w:p>
    <w:p w14:paraId="137CBE9F" w14:textId="04174DE1" w:rsidR="00840EFA" w:rsidRPr="00731A19" w:rsidRDefault="00170642" w:rsidP="00731A19">
      <w:pPr>
        <w:widowControl w:val="0"/>
        <w:autoSpaceDE w:val="0"/>
        <w:autoSpaceDN w:val="0"/>
        <w:adjustRightInd w:val="0"/>
        <w:jc w:val="both"/>
      </w:pPr>
      <w:r>
        <w:rPr>
          <w:color w:val="000000"/>
          <w:lang w:eastAsia="en-US"/>
        </w:rPr>
        <w:t>S</w:t>
      </w:r>
      <w:r w:rsidR="0086435F" w:rsidRPr="00731A19">
        <w:rPr>
          <w:color w:val="000000"/>
          <w:lang w:eastAsia="en-US"/>
        </w:rPr>
        <w:t xml:space="preserve">ur la Monnaie hélicoptère </w:t>
      </w:r>
      <w:r>
        <w:rPr>
          <w:color w:val="000000"/>
          <w:lang w:eastAsia="en-US"/>
        </w:rPr>
        <w:t>lire en ligne</w:t>
      </w:r>
      <w:r w:rsidR="0086435F" w:rsidRPr="00731A19">
        <w:rPr>
          <w:color w:val="000000"/>
          <w:lang w:eastAsia="en-US"/>
        </w:rPr>
        <w:t xml:space="preserve"> la note de J. Couppey-Soubiran qui propose de l’utiliser pour faire face à la crise actuelle :</w:t>
      </w:r>
      <w:r w:rsidR="0086435F" w:rsidRPr="00731A19">
        <w:t xml:space="preserve"> </w:t>
      </w:r>
      <w:r w:rsidR="00840EFA" w:rsidRPr="00731A19">
        <w:rPr>
          <w:color w:val="000000"/>
          <w:lang w:eastAsia="en-US"/>
        </w:rPr>
        <w:t xml:space="preserve">J. Couppey-Soubiran, 2020, </w:t>
      </w:r>
      <w:r w:rsidR="00840EFA" w:rsidRPr="00731A19">
        <w:rPr>
          <w:i/>
          <w:color w:val="000000"/>
          <w:lang w:eastAsia="en-US"/>
        </w:rPr>
        <w:t>La monnaie hélicoptère contre la dépression dans le sillage de la crise sanitaire</w:t>
      </w:r>
    </w:p>
    <w:p w14:paraId="1894F84B" w14:textId="77777777" w:rsidR="00B6425B" w:rsidRPr="00731A19" w:rsidRDefault="00B6425B" w:rsidP="00731A19">
      <w:pPr>
        <w:widowControl w:val="0"/>
        <w:autoSpaceDE w:val="0"/>
        <w:autoSpaceDN w:val="0"/>
        <w:adjustRightInd w:val="0"/>
        <w:jc w:val="both"/>
        <w:rPr>
          <w:color w:val="000000"/>
          <w:lang w:eastAsia="en-US"/>
        </w:rPr>
      </w:pPr>
    </w:p>
    <w:p w14:paraId="0AAA8E30" w14:textId="1D18BA24" w:rsidR="0086435F" w:rsidRPr="00731A19" w:rsidRDefault="00170642" w:rsidP="00731A19">
      <w:pPr>
        <w:widowControl w:val="0"/>
        <w:autoSpaceDE w:val="0"/>
        <w:autoSpaceDN w:val="0"/>
        <w:adjustRightInd w:val="0"/>
        <w:jc w:val="both"/>
        <w:rPr>
          <w:rFonts w:eastAsia="MS Mincho"/>
          <w:color w:val="000000"/>
          <w:lang w:eastAsia="en-US"/>
        </w:rPr>
      </w:pPr>
      <w:r>
        <w:rPr>
          <w:color w:val="000000"/>
          <w:lang w:eastAsia="en-US"/>
        </w:rPr>
        <w:t>2</w:t>
      </w:r>
      <w:r w:rsidR="0086435F" w:rsidRPr="00731A19">
        <w:rPr>
          <w:color w:val="000000"/>
          <w:lang w:eastAsia="en-US"/>
        </w:rPr>
        <w:t xml:space="preserve">) Les postulats </w:t>
      </w:r>
      <w:r w:rsidR="0086435F" w:rsidRPr="00731A19">
        <w:rPr>
          <w:rFonts w:eastAsia="MS Mincho"/>
          <w:color w:val="000000"/>
          <w:lang w:eastAsia="en-US"/>
        </w:rPr>
        <w:t> </w:t>
      </w:r>
    </w:p>
    <w:p w14:paraId="4C1D8C39" w14:textId="032896EC" w:rsidR="00840EFA" w:rsidRDefault="00170642" w:rsidP="00731A19">
      <w:pPr>
        <w:widowControl w:val="0"/>
        <w:autoSpaceDE w:val="0"/>
        <w:autoSpaceDN w:val="0"/>
        <w:adjustRightInd w:val="0"/>
        <w:jc w:val="both"/>
        <w:rPr>
          <w:rFonts w:eastAsia="MS Mincho"/>
          <w:color w:val="000000"/>
          <w:lang w:eastAsia="en-US"/>
        </w:rPr>
      </w:pPr>
      <w:r>
        <w:rPr>
          <w:color w:val="000000"/>
          <w:lang w:eastAsia="en-US"/>
        </w:rPr>
        <w:t>3</w:t>
      </w:r>
      <w:r w:rsidR="0086435F" w:rsidRPr="00731A19">
        <w:rPr>
          <w:color w:val="000000"/>
          <w:lang w:eastAsia="en-US"/>
        </w:rPr>
        <w:t>) L’effet Fisher</w:t>
      </w:r>
      <w:r w:rsidR="0086435F" w:rsidRPr="00731A19">
        <w:rPr>
          <w:rFonts w:eastAsia="MS Mincho"/>
          <w:color w:val="000000"/>
          <w:lang w:eastAsia="en-US"/>
        </w:rPr>
        <w:t> </w:t>
      </w:r>
    </w:p>
    <w:p w14:paraId="75C42C51" w14:textId="77777777" w:rsidR="00170642" w:rsidRPr="00731A19" w:rsidRDefault="00170642" w:rsidP="00731A19">
      <w:pPr>
        <w:widowControl w:val="0"/>
        <w:autoSpaceDE w:val="0"/>
        <w:autoSpaceDN w:val="0"/>
        <w:adjustRightInd w:val="0"/>
        <w:jc w:val="both"/>
        <w:rPr>
          <w:rFonts w:eastAsia="MS Mincho"/>
          <w:color w:val="000000"/>
          <w:lang w:eastAsia="en-US"/>
        </w:rPr>
      </w:pPr>
    </w:p>
    <w:p w14:paraId="249936CF" w14:textId="3E697B98" w:rsidR="0086435F" w:rsidRPr="00170642" w:rsidRDefault="006717F6" w:rsidP="00731A19">
      <w:pPr>
        <w:widowControl w:val="0"/>
        <w:autoSpaceDE w:val="0"/>
        <w:autoSpaceDN w:val="0"/>
        <w:adjustRightInd w:val="0"/>
        <w:jc w:val="both"/>
        <w:rPr>
          <w:rFonts w:eastAsia="MS Mincho"/>
          <w:b/>
          <w:color w:val="000000"/>
          <w:lang w:eastAsia="en-US"/>
        </w:rPr>
      </w:pPr>
      <w:r>
        <w:rPr>
          <w:b/>
          <w:color w:val="000000"/>
          <w:lang w:eastAsia="en-US"/>
        </w:rPr>
        <w:t>D</w:t>
      </w:r>
      <w:r w:rsidR="0086435F" w:rsidRPr="00170642">
        <w:rPr>
          <w:b/>
          <w:color w:val="000000"/>
          <w:lang w:eastAsia="en-US"/>
        </w:rPr>
        <w:t xml:space="preserve">)Le rôle des autorités monétaires </w:t>
      </w:r>
    </w:p>
    <w:p w14:paraId="24D85D58" w14:textId="77777777" w:rsidR="0086435F" w:rsidRPr="00731A19" w:rsidRDefault="0086435F" w:rsidP="00731A19">
      <w:pPr>
        <w:widowControl w:val="0"/>
        <w:autoSpaceDE w:val="0"/>
        <w:autoSpaceDN w:val="0"/>
        <w:adjustRightInd w:val="0"/>
        <w:jc w:val="both"/>
        <w:rPr>
          <w:color w:val="000000"/>
          <w:lang w:eastAsia="en-US"/>
        </w:rPr>
      </w:pPr>
      <w:r w:rsidRPr="00731A19">
        <w:rPr>
          <w:color w:val="000000"/>
          <w:lang w:eastAsia="en-US"/>
        </w:rPr>
        <w:t xml:space="preserve">Friedman (1968), </w:t>
      </w:r>
      <w:r w:rsidRPr="00EE5F53">
        <w:rPr>
          <w:i/>
          <w:color w:val="000000"/>
          <w:lang w:eastAsia="en-US"/>
        </w:rPr>
        <w:t>« les syndicats créent pas mal de problèmes dans tous les domaines mais s’il y a une chose dont ils ne sont pas responsables, c’est bien de l’inflation »</w:t>
      </w:r>
      <w:r w:rsidRPr="00731A19">
        <w:rPr>
          <w:color w:val="000000"/>
          <w:lang w:eastAsia="en-US"/>
        </w:rPr>
        <w:t xml:space="preserve">. </w:t>
      </w:r>
    </w:p>
    <w:p w14:paraId="1B81D103" w14:textId="77777777" w:rsidR="0086435F" w:rsidRPr="00731A19" w:rsidRDefault="0086435F" w:rsidP="00731A19">
      <w:pPr>
        <w:widowControl w:val="0"/>
        <w:autoSpaceDE w:val="0"/>
        <w:autoSpaceDN w:val="0"/>
        <w:adjustRightInd w:val="0"/>
        <w:jc w:val="both"/>
        <w:rPr>
          <w:color w:val="000000"/>
          <w:lang w:eastAsia="en-US"/>
        </w:rPr>
      </w:pPr>
    </w:p>
    <w:p w14:paraId="5E3C23F9" w14:textId="77777777" w:rsidR="0086435F" w:rsidRPr="00731A19" w:rsidRDefault="0086435F" w:rsidP="00731A19">
      <w:pPr>
        <w:widowControl w:val="0"/>
        <w:autoSpaceDE w:val="0"/>
        <w:autoSpaceDN w:val="0"/>
        <w:adjustRightInd w:val="0"/>
        <w:jc w:val="both"/>
        <w:rPr>
          <w:rFonts w:eastAsia="MS Mincho"/>
          <w:color w:val="000000"/>
          <w:lang w:eastAsia="en-US"/>
        </w:rPr>
      </w:pPr>
      <w:r w:rsidRPr="00731A19">
        <w:rPr>
          <w:b/>
          <w:color w:val="000000"/>
          <w:u w:val="single"/>
          <w:lang w:eastAsia="en-US"/>
        </w:rPr>
        <w:t>IV Les effets de l’inflation</w:t>
      </w:r>
      <w:r w:rsidRPr="00731A19">
        <w:rPr>
          <w:rFonts w:eastAsia="MS Mincho"/>
          <w:color w:val="000000"/>
          <w:lang w:eastAsia="en-US"/>
        </w:rPr>
        <w:t> </w:t>
      </w:r>
    </w:p>
    <w:p w14:paraId="443CF706" w14:textId="77777777" w:rsidR="0086435F" w:rsidRPr="006717F6" w:rsidRDefault="0086435F" w:rsidP="00731A19">
      <w:pPr>
        <w:widowControl w:val="0"/>
        <w:autoSpaceDE w:val="0"/>
        <w:autoSpaceDN w:val="0"/>
        <w:adjustRightInd w:val="0"/>
        <w:jc w:val="both"/>
        <w:rPr>
          <w:rFonts w:eastAsia="MS Mincho"/>
          <w:b/>
          <w:color w:val="000000"/>
          <w:lang w:eastAsia="en-US"/>
        </w:rPr>
      </w:pPr>
      <w:r w:rsidRPr="006717F6">
        <w:rPr>
          <w:b/>
          <w:color w:val="000000"/>
          <w:lang w:eastAsia="en-US"/>
        </w:rPr>
        <w:t>A) La vision keynésienne : les effets positifs d’une inflation rampante</w:t>
      </w:r>
      <w:r w:rsidRPr="006717F6">
        <w:rPr>
          <w:rFonts w:eastAsia="MS Mincho"/>
          <w:b/>
          <w:color w:val="000000"/>
          <w:lang w:eastAsia="en-US"/>
        </w:rPr>
        <w:t> </w:t>
      </w:r>
    </w:p>
    <w:p w14:paraId="5B6E81D6" w14:textId="0F8A2844" w:rsidR="0086435F" w:rsidRPr="00731A19" w:rsidRDefault="0086435F" w:rsidP="00731A19">
      <w:pPr>
        <w:widowControl w:val="0"/>
        <w:autoSpaceDE w:val="0"/>
        <w:autoSpaceDN w:val="0"/>
        <w:adjustRightInd w:val="0"/>
        <w:jc w:val="both"/>
        <w:rPr>
          <w:color w:val="000000"/>
          <w:lang w:eastAsia="en-US"/>
        </w:rPr>
      </w:pPr>
      <w:r w:rsidRPr="00731A19">
        <w:rPr>
          <w:color w:val="000000"/>
          <w:lang w:eastAsia="en-US"/>
        </w:rPr>
        <w:t xml:space="preserve">1) La hausse de la dépense globale </w:t>
      </w:r>
    </w:p>
    <w:p w14:paraId="3977DCF6" w14:textId="77777777" w:rsidR="0086435F" w:rsidRPr="00731A19" w:rsidRDefault="0086435F" w:rsidP="00731A19">
      <w:pPr>
        <w:widowControl w:val="0"/>
        <w:autoSpaceDE w:val="0"/>
        <w:autoSpaceDN w:val="0"/>
        <w:adjustRightInd w:val="0"/>
        <w:jc w:val="both"/>
        <w:rPr>
          <w:color w:val="000000"/>
          <w:lang w:eastAsia="en-US"/>
        </w:rPr>
      </w:pPr>
      <w:r w:rsidRPr="00731A19">
        <w:rPr>
          <w:color w:val="000000"/>
          <w:lang w:eastAsia="en-US"/>
        </w:rPr>
        <w:t xml:space="preserve">2) La hausse de la rentabilité des entreprises  </w:t>
      </w:r>
    </w:p>
    <w:p w14:paraId="4664AAA0" w14:textId="77777777" w:rsidR="00731A19" w:rsidRPr="00731A19" w:rsidRDefault="0086435F" w:rsidP="00731A19">
      <w:pPr>
        <w:widowControl w:val="0"/>
        <w:autoSpaceDE w:val="0"/>
        <w:autoSpaceDN w:val="0"/>
        <w:adjustRightInd w:val="0"/>
        <w:jc w:val="both"/>
        <w:rPr>
          <w:color w:val="000000"/>
          <w:lang w:eastAsia="en-US"/>
        </w:rPr>
      </w:pPr>
      <w:r w:rsidRPr="00731A19">
        <w:rPr>
          <w:color w:val="000000"/>
          <w:lang w:eastAsia="en-US"/>
        </w:rPr>
        <w:t>3) L’inflation met de l’huile dans les rouages de l’économie</w:t>
      </w:r>
    </w:p>
    <w:p w14:paraId="5A1CC5A9" w14:textId="77777777" w:rsidR="0086435F" w:rsidRPr="00731A19" w:rsidRDefault="0086435F" w:rsidP="00731A19">
      <w:pPr>
        <w:widowControl w:val="0"/>
        <w:autoSpaceDE w:val="0"/>
        <w:autoSpaceDN w:val="0"/>
        <w:adjustRightInd w:val="0"/>
        <w:jc w:val="both"/>
        <w:rPr>
          <w:color w:val="000000"/>
          <w:lang w:eastAsia="en-US"/>
        </w:rPr>
      </w:pPr>
    </w:p>
    <w:p w14:paraId="1CD7D7B6" w14:textId="77777777" w:rsidR="0086435F" w:rsidRPr="006717F6" w:rsidRDefault="0086435F" w:rsidP="00731A19">
      <w:pPr>
        <w:widowControl w:val="0"/>
        <w:autoSpaceDE w:val="0"/>
        <w:autoSpaceDN w:val="0"/>
        <w:adjustRightInd w:val="0"/>
        <w:jc w:val="both"/>
        <w:rPr>
          <w:b/>
          <w:color w:val="000000"/>
          <w:lang w:eastAsia="en-US"/>
        </w:rPr>
      </w:pPr>
      <w:r w:rsidRPr="006717F6">
        <w:rPr>
          <w:b/>
          <w:color w:val="000000"/>
          <w:lang w:eastAsia="en-US"/>
        </w:rPr>
        <w:t xml:space="preserve">B) Vision monétariste : les coûts de l’inflation </w:t>
      </w:r>
    </w:p>
    <w:p w14:paraId="4D1ECB24" w14:textId="44DE3481" w:rsidR="0086435F" w:rsidRPr="00170642" w:rsidRDefault="0086435F" w:rsidP="00731A19">
      <w:pPr>
        <w:widowControl w:val="0"/>
        <w:autoSpaceDE w:val="0"/>
        <w:autoSpaceDN w:val="0"/>
        <w:adjustRightInd w:val="0"/>
        <w:jc w:val="both"/>
        <w:rPr>
          <w:rFonts w:eastAsia="MS Mincho"/>
          <w:color w:val="000000"/>
          <w:lang w:eastAsia="en-US"/>
        </w:rPr>
      </w:pPr>
      <w:r w:rsidRPr="00731A19">
        <w:rPr>
          <w:color w:val="000000"/>
          <w:lang w:eastAsia="en-US"/>
        </w:rPr>
        <w:t>1) L’inflation remet en cause l’étalon monétaire</w:t>
      </w:r>
    </w:p>
    <w:p w14:paraId="050A6820" w14:textId="77777777" w:rsidR="00170642" w:rsidRPr="00AC6D0C" w:rsidRDefault="0086435F" w:rsidP="00170642">
      <w:pPr>
        <w:widowControl w:val="0"/>
        <w:autoSpaceDE w:val="0"/>
        <w:autoSpaceDN w:val="0"/>
        <w:adjustRightInd w:val="0"/>
        <w:spacing w:after="240"/>
        <w:jc w:val="both"/>
        <w:outlineLvl w:val="0"/>
        <w:rPr>
          <w:color w:val="000000"/>
          <w:lang w:eastAsia="en-US"/>
        </w:rPr>
      </w:pPr>
      <w:r w:rsidRPr="00731A19">
        <w:rPr>
          <w:color w:val="000000"/>
          <w:lang w:eastAsia="en-US"/>
        </w:rPr>
        <w:t xml:space="preserve">2) </w:t>
      </w:r>
      <w:r w:rsidR="00170642" w:rsidRPr="00AC6D0C">
        <w:rPr>
          <w:color w:val="000000"/>
          <w:lang w:eastAsia="en-US"/>
        </w:rPr>
        <w:t xml:space="preserve">L’inflation </w:t>
      </w:r>
      <w:r w:rsidR="00170642">
        <w:rPr>
          <w:color w:val="000000"/>
          <w:lang w:eastAsia="en-US"/>
        </w:rPr>
        <w:t xml:space="preserve">génère des coûts et </w:t>
      </w:r>
      <w:r w:rsidR="00170642" w:rsidRPr="00AC6D0C">
        <w:rPr>
          <w:color w:val="000000"/>
          <w:lang w:eastAsia="en-US"/>
        </w:rPr>
        <w:t xml:space="preserve">freine la croissance </w:t>
      </w:r>
    </w:p>
    <w:p w14:paraId="2AEBBE71" w14:textId="081F0D2E" w:rsidR="0086435F" w:rsidRPr="00EE5F53" w:rsidRDefault="00963930" w:rsidP="00731A19">
      <w:pPr>
        <w:widowControl w:val="0"/>
        <w:autoSpaceDE w:val="0"/>
        <w:autoSpaceDN w:val="0"/>
        <w:adjustRightInd w:val="0"/>
        <w:jc w:val="both"/>
        <w:rPr>
          <w:color w:val="000000"/>
          <w:lang w:val="en-US"/>
        </w:rPr>
      </w:pPr>
      <w:r w:rsidRPr="00592A44">
        <w:rPr>
          <w:color w:val="000000"/>
          <w:lang w:val="en-US"/>
        </w:rPr>
        <w:t>Robert Barro</w:t>
      </w:r>
      <w:r w:rsidR="00EE5F53">
        <w:rPr>
          <w:color w:val="000000"/>
          <w:lang w:val="en-US"/>
        </w:rPr>
        <w:t xml:space="preserve">, </w:t>
      </w:r>
      <w:r w:rsidR="00EE5F53" w:rsidRPr="00592A44">
        <w:rPr>
          <w:color w:val="000000"/>
          <w:lang w:val="en-US"/>
        </w:rPr>
        <w:t>1996</w:t>
      </w:r>
      <w:r w:rsidR="00EE5F53">
        <w:rPr>
          <w:color w:val="000000"/>
          <w:lang w:val="en-US"/>
        </w:rPr>
        <w:t xml:space="preserve">, </w:t>
      </w:r>
      <w:r w:rsidRPr="00EE5F53">
        <w:rPr>
          <w:rFonts w:eastAsia="Times New Roman"/>
          <w:bCs/>
          <w:i/>
          <w:color w:val="200020"/>
          <w:lang w:val="en-US"/>
        </w:rPr>
        <w:t>Determinants of Economic Growth: A Cross-Country Empirical Study</w:t>
      </w:r>
    </w:p>
    <w:p w14:paraId="30F5C60D" w14:textId="77777777" w:rsidR="0086435F" w:rsidRPr="00EE5F53" w:rsidRDefault="0086435F" w:rsidP="00731A19">
      <w:pPr>
        <w:widowControl w:val="0"/>
        <w:autoSpaceDE w:val="0"/>
        <w:autoSpaceDN w:val="0"/>
        <w:adjustRightInd w:val="0"/>
        <w:jc w:val="both"/>
        <w:rPr>
          <w:color w:val="000000"/>
          <w:lang w:val="en-US" w:eastAsia="en-US"/>
        </w:rPr>
      </w:pPr>
    </w:p>
    <w:p w14:paraId="5FBBA1C2" w14:textId="77777777" w:rsidR="0086435F" w:rsidRPr="00731A19" w:rsidRDefault="0086435F" w:rsidP="00731A19">
      <w:pPr>
        <w:widowControl w:val="0"/>
        <w:autoSpaceDE w:val="0"/>
        <w:autoSpaceDN w:val="0"/>
        <w:adjustRightInd w:val="0"/>
        <w:jc w:val="both"/>
        <w:rPr>
          <w:rFonts w:eastAsia="MS Mincho"/>
          <w:color w:val="000000"/>
          <w:lang w:eastAsia="en-US"/>
        </w:rPr>
      </w:pPr>
      <w:r w:rsidRPr="00731A19">
        <w:rPr>
          <w:color w:val="000000"/>
          <w:lang w:eastAsia="en-US"/>
        </w:rPr>
        <w:t>3) L’inflation peut contribuer à attiser les conflits sociaux</w:t>
      </w:r>
      <w:r w:rsidRPr="00731A19">
        <w:rPr>
          <w:rFonts w:eastAsia="MS Mincho"/>
          <w:color w:val="000000"/>
          <w:lang w:eastAsia="en-US"/>
        </w:rPr>
        <w:t> </w:t>
      </w:r>
    </w:p>
    <w:p w14:paraId="3C3982CB" w14:textId="52B54B6B" w:rsidR="0086435F" w:rsidRPr="00731A19" w:rsidRDefault="0086435F" w:rsidP="00731A19">
      <w:pPr>
        <w:widowControl w:val="0"/>
        <w:autoSpaceDE w:val="0"/>
        <w:autoSpaceDN w:val="0"/>
        <w:adjustRightInd w:val="0"/>
        <w:spacing w:line="340" w:lineRule="atLeast"/>
        <w:jc w:val="both"/>
        <w:rPr>
          <w:color w:val="000000"/>
          <w:lang w:eastAsia="en-US"/>
        </w:rPr>
      </w:pPr>
    </w:p>
    <w:p w14:paraId="055B6E21" w14:textId="77777777" w:rsidR="0086435F" w:rsidRPr="00731A19" w:rsidRDefault="0086435F" w:rsidP="00731A19">
      <w:pPr>
        <w:widowControl w:val="0"/>
        <w:autoSpaceDE w:val="0"/>
        <w:autoSpaceDN w:val="0"/>
        <w:adjustRightInd w:val="0"/>
        <w:jc w:val="both"/>
        <w:rPr>
          <w:color w:val="000000"/>
          <w:lang w:eastAsia="en-US"/>
        </w:rPr>
      </w:pPr>
    </w:p>
    <w:p w14:paraId="1F9CAD4D" w14:textId="77777777" w:rsidR="0086435F" w:rsidRPr="00731A19" w:rsidRDefault="0086435F" w:rsidP="00731A19">
      <w:pPr>
        <w:widowControl w:val="0"/>
        <w:autoSpaceDE w:val="0"/>
        <w:autoSpaceDN w:val="0"/>
        <w:adjustRightInd w:val="0"/>
        <w:spacing w:line="340" w:lineRule="atLeast"/>
        <w:jc w:val="both"/>
        <w:rPr>
          <w:b/>
          <w:color w:val="000000"/>
          <w:u w:val="single"/>
          <w:lang w:eastAsia="en-US"/>
        </w:rPr>
      </w:pPr>
      <w:r w:rsidRPr="00731A19">
        <w:rPr>
          <w:b/>
          <w:color w:val="000000"/>
          <w:u w:val="single"/>
          <w:lang w:eastAsia="en-US"/>
        </w:rPr>
        <w:t>V La lutte contre l’inflation</w:t>
      </w:r>
    </w:p>
    <w:p w14:paraId="58B1171F" w14:textId="77777777" w:rsidR="0086435F" w:rsidRPr="00731A19" w:rsidRDefault="0086435F" w:rsidP="00731A19">
      <w:pPr>
        <w:widowControl w:val="0"/>
        <w:autoSpaceDE w:val="0"/>
        <w:autoSpaceDN w:val="0"/>
        <w:adjustRightInd w:val="0"/>
        <w:spacing w:line="340" w:lineRule="atLeast"/>
        <w:jc w:val="both"/>
        <w:rPr>
          <w:color w:val="000000"/>
          <w:lang w:eastAsia="en-US"/>
        </w:rPr>
      </w:pPr>
      <w:r w:rsidRPr="00731A19">
        <w:rPr>
          <w:color w:val="000000"/>
          <w:lang w:eastAsia="en-US"/>
        </w:rPr>
        <w:t>A) Les moyens traditionnels</w:t>
      </w:r>
    </w:p>
    <w:p w14:paraId="15B8CD30" w14:textId="101B34BF" w:rsidR="0086435F" w:rsidRPr="00963930" w:rsidRDefault="0086435F" w:rsidP="00963930">
      <w:pPr>
        <w:widowControl w:val="0"/>
        <w:autoSpaceDE w:val="0"/>
        <w:autoSpaceDN w:val="0"/>
        <w:adjustRightInd w:val="0"/>
        <w:spacing w:line="340" w:lineRule="atLeast"/>
        <w:jc w:val="both"/>
        <w:rPr>
          <w:rFonts w:eastAsia="MS Mincho"/>
          <w:color w:val="000000"/>
          <w:lang w:eastAsia="en-US"/>
        </w:rPr>
      </w:pPr>
      <w:r w:rsidRPr="00731A19">
        <w:rPr>
          <w:color w:val="000000"/>
          <w:lang w:eastAsia="en-US"/>
        </w:rPr>
        <w:t xml:space="preserve">1) Le blocage des prix : exemples et effets </w:t>
      </w:r>
    </w:p>
    <w:p w14:paraId="068C8BA2" w14:textId="6661A223" w:rsidR="0086435F" w:rsidRPr="00731A19" w:rsidRDefault="0086435F" w:rsidP="00731A19">
      <w:pPr>
        <w:widowControl w:val="0"/>
        <w:autoSpaceDE w:val="0"/>
        <w:autoSpaceDN w:val="0"/>
        <w:adjustRightInd w:val="0"/>
        <w:jc w:val="both"/>
        <w:rPr>
          <w:rFonts w:eastAsia="MS Mincho"/>
          <w:color w:val="000000"/>
          <w:lang w:eastAsia="en-US"/>
        </w:rPr>
      </w:pPr>
      <w:r w:rsidRPr="00731A19">
        <w:rPr>
          <w:color w:val="000000"/>
          <w:lang w:eastAsia="en-US"/>
        </w:rPr>
        <w:t>2) La politique budgétaire</w:t>
      </w:r>
    </w:p>
    <w:p w14:paraId="58D56ADD" w14:textId="77777777" w:rsidR="0086435F" w:rsidRPr="00731A19" w:rsidRDefault="0086435F" w:rsidP="00731A19">
      <w:pPr>
        <w:widowControl w:val="0"/>
        <w:autoSpaceDE w:val="0"/>
        <w:autoSpaceDN w:val="0"/>
        <w:adjustRightInd w:val="0"/>
        <w:spacing w:line="340" w:lineRule="atLeast"/>
        <w:jc w:val="both"/>
        <w:rPr>
          <w:rFonts w:eastAsia="MS Mincho"/>
          <w:color w:val="000000"/>
          <w:lang w:eastAsia="en-US"/>
        </w:rPr>
      </w:pPr>
      <w:r w:rsidRPr="00731A19">
        <w:rPr>
          <w:color w:val="000000"/>
          <w:lang w:eastAsia="en-US"/>
        </w:rPr>
        <w:t>3)La politique des revenus</w:t>
      </w:r>
    </w:p>
    <w:p w14:paraId="4A95FCBE" w14:textId="77777777" w:rsidR="006717F6" w:rsidRDefault="006717F6" w:rsidP="00731A1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40" w:lineRule="atLeast"/>
        <w:jc w:val="both"/>
        <w:rPr>
          <w:color w:val="000000"/>
          <w:lang w:eastAsia="en-US"/>
        </w:rPr>
      </w:pPr>
    </w:p>
    <w:p w14:paraId="4CD5C31B" w14:textId="77777777" w:rsidR="0086435F" w:rsidRPr="00731A19" w:rsidRDefault="0086435F" w:rsidP="00731A1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40" w:lineRule="atLeast"/>
        <w:jc w:val="both"/>
        <w:rPr>
          <w:color w:val="000000"/>
          <w:lang w:eastAsia="en-US"/>
        </w:rPr>
      </w:pPr>
      <w:r w:rsidRPr="00731A19">
        <w:rPr>
          <w:color w:val="000000"/>
          <w:lang w:eastAsia="en-US"/>
        </w:rPr>
        <w:t>B) La politique monétaire</w:t>
      </w:r>
    </w:p>
    <w:p w14:paraId="3FAACA0F" w14:textId="77777777" w:rsidR="0086435F" w:rsidRPr="00731A19" w:rsidRDefault="0086435F" w:rsidP="00731A1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40" w:lineRule="atLeast"/>
        <w:jc w:val="both"/>
        <w:rPr>
          <w:color w:val="000000"/>
          <w:lang w:eastAsia="en-US"/>
        </w:rPr>
      </w:pPr>
      <w:r w:rsidRPr="00731A19">
        <w:rPr>
          <w:color w:val="000000"/>
          <w:lang w:eastAsia="en-US"/>
        </w:rPr>
        <w:t xml:space="preserve">1) Limitation de la masse monétaire </w:t>
      </w:r>
    </w:p>
    <w:p w14:paraId="161686D5" w14:textId="77777777" w:rsidR="0086435F" w:rsidRPr="00592A44" w:rsidRDefault="0086435F" w:rsidP="00731A1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40" w:lineRule="atLeast"/>
        <w:jc w:val="both"/>
        <w:rPr>
          <w:color w:val="000000"/>
          <w:lang w:val="en-US" w:eastAsia="en-US"/>
        </w:rPr>
      </w:pPr>
      <w:r w:rsidRPr="00592A44">
        <w:rPr>
          <w:color w:val="000000"/>
          <w:lang w:val="en-US" w:eastAsia="en-US"/>
        </w:rPr>
        <w:t>2) Les effets de la désinflation</w:t>
      </w:r>
    </w:p>
    <w:p w14:paraId="0B12AF24" w14:textId="60689288" w:rsidR="00840EFA" w:rsidRDefault="006717F6" w:rsidP="00731A1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color w:val="000000"/>
          <w:lang w:val="en-US" w:eastAsia="en-US"/>
        </w:rPr>
      </w:pPr>
      <w:r w:rsidRPr="00782B12">
        <w:rPr>
          <w:color w:val="000000"/>
          <w:lang w:val="en-US" w:eastAsia="en-US"/>
        </w:rPr>
        <w:t>Friedman</w:t>
      </w:r>
      <w:r w:rsidR="00EE5F53">
        <w:rPr>
          <w:color w:val="000000"/>
          <w:lang w:val="en-US" w:eastAsia="en-US"/>
        </w:rPr>
        <w:t>, 1993,</w:t>
      </w:r>
      <w:r w:rsidRPr="00782B12">
        <w:rPr>
          <w:color w:val="000000"/>
          <w:lang w:val="en-US" w:eastAsia="en-US"/>
        </w:rPr>
        <w:t xml:space="preserve"> </w:t>
      </w:r>
      <w:r w:rsidRPr="006717F6">
        <w:rPr>
          <w:rFonts w:ascii="Times" w:hAnsi="Times"/>
          <w:i/>
          <w:lang w:val="en-US"/>
        </w:rPr>
        <w:t>Why Government is the Problem?</w:t>
      </w:r>
      <w:r>
        <w:rPr>
          <w:rFonts w:ascii="Times" w:hAnsi="Times"/>
          <w:lang w:val="en-US"/>
        </w:rPr>
        <w:t xml:space="preserve"> </w:t>
      </w:r>
    </w:p>
    <w:p w14:paraId="20BF4E83" w14:textId="6095F2C9" w:rsidR="006717F6" w:rsidRPr="006717F6" w:rsidRDefault="006717F6" w:rsidP="00731A1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color w:val="000000"/>
          <w:lang w:val="en-US" w:eastAsia="en-US"/>
        </w:rPr>
      </w:pPr>
      <w:r>
        <w:rPr>
          <w:color w:val="000000"/>
          <w:lang w:val="en-US"/>
        </w:rPr>
        <w:t xml:space="preserve">Laurence Ball, </w:t>
      </w:r>
      <w:r w:rsidR="004F2102" w:rsidRPr="006717F6">
        <w:rPr>
          <w:color w:val="000000"/>
          <w:lang w:val="en-US"/>
        </w:rPr>
        <w:t>2009</w:t>
      </w:r>
      <w:r w:rsidR="00B726B4">
        <w:rPr>
          <w:color w:val="000000"/>
          <w:lang w:val="en-US"/>
        </w:rPr>
        <w:t>,</w:t>
      </w:r>
      <w:r w:rsidRPr="004F2102">
        <w:rPr>
          <w:i/>
          <w:color w:val="000000"/>
          <w:lang w:val="en-US"/>
        </w:rPr>
        <w:t xml:space="preserve"> Hysteresis in unemployment: Old and new evidence</w:t>
      </w:r>
      <w:r>
        <w:rPr>
          <w:color w:val="000000"/>
          <w:lang w:val="en-US"/>
        </w:rPr>
        <w:t xml:space="preserve">, </w:t>
      </w:r>
      <w:r w:rsidRPr="006717F6">
        <w:rPr>
          <w:color w:val="000000"/>
          <w:lang w:val="en-US"/>
        </w:rPr>
        <w:t>2009</w:t>
      </w:r>
    </w:p>
    <w:p w14:paraId="3A0C99FB" w14:textId="77777777" w:rsidR="006717F6" w:rsidRPr="00592A44" w:rsidRDefault="006717F6" w:rsidP="00731A1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color w:val="000000"/>
          <w:lang w:val="en-US"/>
        </w:rPr>
      </w:pPr>
    </w:p>
    <w:p w14:paraId="1B48392E" w14:textId="77777777" w:rsidR="0086435F" w:rsidRPr="00731A19" w:rsidRDefault="0086435F" w:rsidP="00731A1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color w:val="000000"/>
          <w:lang w:eastAsia="en-US"/>
        </w:rPr>
      </w:pPr>
      <w:r w:rsidRPr="00731A19">
        <w:rPr>
          <w:color w:val="000000"/>
          <w:lang w:eastAsia="en-US"/>
        </w:rPr>
        <w:t>3) Comment atténuer ces effets ?</w:t>
      </w:r>
      <w:r w:rsidRPr="00731A19">
        <w:rPr>
          <w:rFonts w:eastAsia="MS Mincho"/>
          <w:color w:val="000000"/>
          <w:lang w:eastAsia="en-US"/>
        </w:rPr>
        <w:t> </w:t>
      </w:r>
    </w:p>
    <w:p w14:paraId="3CC6520F" w14:textId="77777777" w:rsidR="0086435F" w:rsidRPr="00731A19" w:rsidRDefault="0086435F" w:rsidP="00731A19">
      <w:pPr>
        <w:widowControl w:val="0"/>
        <w:autoSpaceDE w:val="0"/>
        <w:autoSpaceDN w:val="0"/>
        <w:adjustRightInd w:val="0"/>
        <w:jc w:val="both"/>
        <w:rPr>
          <w:color w:val="000000"/>
          <w:lang w:eastAsia="en-US"/>
        </w:rPr>
      </w:pPr>
    </w:p>
    <w:p w14:paraId="1F46D3B5" w14:textId="77777777" w:rsidR="0086435F" w:rsidRPr="00731A19" w:rsidRDefault="0086435F" w:rsidP="00731A19">
      <w:pPr>
        <w:widowControl w:val="0"/>
        <w:autoSpaceDE w:val="0"/>
        <w:autoSpaceDN w:val="0"/>
        <w:adjustRightInd w:val="0"/>
        <w:spacing w:line="340" w:lineRule="atLeast"/>
        <w:jc w:val="both"/>
        <w:rPr>
          <w:b/>
          <w:color w:val="000000"/>
          <w:u w:val="single"/>
          <w:lang w:eastAsia="en-US"/>
        </w:rPr>
      </w:pPr>
      <w:r w:rsidRPr="00731A19">
        <w:rPr>
          <w:b/>
          <w:color w:val="000000"/>
          <w:u w:val="single"/>
          <w:lang w:eastAsia="en-US"/>
        </w:rPr>
        <w:t xml:space="preserve">VI - La déflation </w:t>
      </w:r>
    </w:p>
    <w:p w14:paraId="7B347A73" w14:textId="77777777" w:rsidR="0086435F" w:rsidRPr="00731A19" w:rsidRDefault="0086435F" w:rsidP="00731A19">
      <w:pPr>
        <w:widowControl w:val="0"/>
        <w:autoSpaceDE w:val="0"/>
        <w:autoSpaceDN w:val="0"/>
        <w:adjustRightInd w:val="0"/>
        <w:jc w:val="both"/>
        <w:rPr>
          <w:color w:val="000000"/>
          <w:lang w:eastAsia="en-US"/>
        </w:rPr>
      </w:pPr>
    </w:p>
    <w:p w14:paraId="4A3A873B" w14:textId="39BE2E83" w:rsidR="0086435F" w:rsidRPr="006717F6" w:rsidRDefault="006717F6" w:rsidP="00731A19">
      <w:pPr>
        <w:widowControl w:val="0"/>
        <w:autoSpaceDE w:val="0"/>
        <w:autoSpaceDN w:val="0"/>
        <w:adjustRightInd w:val="0"/>
        <w:jc w:val="both"/>
        <w:rPr>
          <w:b/>
          <w:color w:val="000000"/>
          <w:lang w:eastAsia="en-US"/>
        </w:rPr>
      </w:pPr>
      <w:r w:rsidRPr="006717F6">
        <w:rPr>
          <w:b/>
          <w:color w:val="000000"/>
          <w:lang w:eastAsia="en-US"/>
        </w:rPr>
        <w:t>A</w:t>
      </w:r>
      <w:r w:rsidR="0086435F" w:rsidRPr="006717F6">
        <w:rPr>
          <w:b/>
          <w:color w:val="000000"/>
          <w:lang w:eastAsia="en-US"/>
        </w:rPr>
        <w:t>) Définition</w:t>
      </w:r>
    </w:p>
    <w:p w14:paraId="624D8A8C" w14:textId="594E90CE" w:rsidR="0086435F" w:rsidRPr="006717F6" w:rsidRDefault="006717F6" w:rsidP="006717F6">
      <w:pPr>
        <w:widowControl w:val="0"/>
        <w:autoSpaceDE w:val="0"/>
        <w:autoSpaceDN w:val="0"/>
        <w:adjustRightInd w:val="0"/>
        <w:jc w:val="both"/>
        <w:rPr>
          <w:b/>
          <w:color w:val="000000"/>
          <w:lang w:eastAsia="en-US"/>
        </w:rPr>
      </w:pPr>
      <w:r w:rsidRPr="006717F6">
        <w:rPr>
          <w:b/>
          <w:color w:val="000000"/>
          <w:lang w:eastAsia="en-US"/>
        </w:rPr>
        <w:t>B</w:t>
      </w:r>
      <w:r w:rsidR="0086435F" w:rsidRPr="006717F6">
        <w:rPr>
          <w:b/>
          <w:color w:val="000000"/>
          <w:lang w:eastAsia="en-US"/>
        </w:rPr>
        <w:t xml:space="preserve">) Les causes de la déflation </w:t>
      </w:r>
    </w:p>
    <w:p w14:paraId="5059024F" w14:textId="4712DF5B" w:rsidR="006717F6" w:rsidRDefault="006717F6" w:rsidP="006717F6">
      <w:pPr>
        <w:widowControl w:val="0"/>
        <w:autoSpaceDE w:val="0"/>
        <w:autoSpaceDN w:val="0"/>
        <w:adjustRightInd w:val="0"/>
        <w:jc w:val="both"/>
        <w:rPr>
          <w:lang w:val="en-US"/>
        </w:rPr>
      </w:pPr>
      <w:r w:rsidRPr="006717F6">
        <w:rPr>
          <w:color w:val="000000"/>
          <w:lang w:val="en-US" w:eastAsia="en-US"/>
        </w:rPr>
        <w:t>Bernanke, H. James</w:t>
      </w:r>
      <w:r w:rsidR="00B726B4">
        <w:rPr>
          <w:color w:val="000000"/>
          <w:lang w:val="en-US" w:eastAsia="en-US"/>
        </w:rPr>
        <w:t xml:space="preserve">, </w:t>
      </w:r>
      <w:r w:rsidR="00B726B4">
        <w:rPr>
          <w:lang w:val="en-US"/>
        </w:rPr>
        <w:t>1991,</w:t>
      </w:r>
      <w:r w:rsidRPr="006717F6">
        <w:rPr>
          <w:lang w:val="en-US"/>
        </w:rPr>
        <w:t xml:space="preserve"> </w:t>
      </w:r>
      <w:r w:rsidRPr="006717F6">
        <w:rPr>
          <w:i/>
          <w:lang w:val="en-US"/>
        </w:rPr>
        <w:t>The Gold Standard, Deflation, and Financial Crisis in the Great Depression: An International Comparison</w:t>
      </w:r>
    </w:p>
    <w:p w14:paraId="6EAFD8DE" w14:textId="77777777" w:rsidR="006717F6" w:rsidRPr="006717F6" w:rsidRDefault="006717F6" w:rsidP="006717F6">
      <w:pPr>
        <w:widowControl w:val="0"/>
        <w:autoSpaceDE w:val="0"/>
        <w:autoSpaceDN w:val="0"/>
        <w:adjustRightInd w:val="0"/>
        <w:jc w:val="both"/>
        <w:rPr>
          <w:color w:val="000000"/>
          <w:lang w:val="en-US" w:eastAsia="en-US"/>
        </w:rPr>
      </w:pPr>
    </w:p>
    <w:p w14:paraId="53C8FFD7" w14:textId="0554F22A" w:rsidR="0086435F" w:rsidRPr="00592A44" w:rsidRDefault="006717F6" w:rsidP="00731A1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b/>
          <w:color w:val="000000"/>
          <w:lang w:val="en-US" w:eastAsia="en-US"/>
        </w:rPr>
      </w:pPr>
      <w:r w:rsidRPr="00592A44">
        <w:rPr>
          <w:b/>
          <w:color w:val="000000"/>
          <w:lang w:val="en-US" w:eastAsia="en-US"/>
        </w:rPr>
        <w:t>C</w:t>
      </w:r>
      <w:r w:rsidR="0086435F" w:rsidRPr="00592A44">
        <w:rPr>
          <w:b/>
          <w:color w:val="000000"/>
          <w:lang w:val="en-US" w:eastAsia="en-US"/>
        </w:rPr>
        <w:t xml:space="preserve">) La Spirale déflation/dépression </w:t>
      </w:r>
    </w:p>
    <w:p w14:paraId="596BE06B" w14:textId="54C9E3D0" w:rsidR="008A66C7" w:rsidRPr="008A66C7" w:rsidRDefault="006717F6" w:rsidP="008A66C7">
      <w:pPr>
        <w:pStyle w:val="Normalweb"/>
        <w:spacing w:before="0" w:beforeAutospacing="0" w:after="0" w:afterAutospacing="0"/>
        <w:jc w:val="both"/>
        <w:rPr>
          <w:rStyle w:val="Lienhypertexte"/>
          <w:color w:val="000000" w:themeColor="text1"/>
          <w:lang w:val="en-US"/>
        </w:rPr>
      </w:pPr>
      <w:r>
        <w:rPr>
          <w:rStyle w:val="lev"/>
          <w:b w:val="0"/>
          <w:color w:val="000000" w:themeColor="text1"/>
          <w:lang w:val="en-US"/>
        </w:rPr>
        <w:t xml:space="preserve">Fisher, Irving, </w:t>
      </w:r>
      <w:r w:rsidR="008A66C7" w:rsidRPr="00731A19">
        <w:rPr>
          <w:rStyle w:val="lev"/>
          <w:b w:val="0"/>
          <w:color w:val="000000" w:themeColor="text1"/>
          <w:lang w:val="en-US"/>
        </w:rPr>
        <w:t>1933</w:t>
      </w:r>
      <w:r w:rsidR="00B726B4">
        <w:rPr>
          <w:lang w:val="en-US"/>
        </w:rPr>
        <w:t xml:space="preserve">, </w:t>
      </w:r>
      <w:r w:rsidR="008A66C7" w:rsidRPr="006717F6">
        <w:rPr>
          <w:i/>
          <w:lang w:val="en-US"/>
        </w:rPr>
        <w:t>The debt deflation theory of great depressions</w:t>
      </w:r>
    </w:p>
    <w:p w14:paraId="56541380" w14:textId="79567871" w:rsidR="008A66C7" w:rsidRPr="006717F6" w:rsidRDefault="006717F6" w:rsidP="008A66C7">
      <w:pPr>
        <w:pStyle w:val="Normalweb"/>
        <w:spacing w:before="0" w:beforeAutospacing="0" w:after="0" w:afterAutospacing="0"/>
        <w:jc w:val="both"/>
        <w:rPr>
          <w:i/>
          <w:color w:val="000000" w:themeColor="text1"/>
          <w:lang w:val="en-US"/>
        </w:rPr>
      </w:pPr>
      <w:r>
        <w:rPr>
          <w:color w:val="000000"/>
          <w:lang w:val="en-US"/>
        </w:rPr>
        <w:t>Brad DeLong et Larry Summers, 2012</w:t>
      </w:r>
      <w:r w:rsidRPr="006717F6">
        <w:rPr>
          <w:color w:val="000000"/>
          <w:lang w:val="en-US"/>
        </w:rPr>
        <w:t xml:space="preserve">, </w:t>
      </w:r>
      <w:r w:rsidRPr="006717F6">
        <w:rPr>
          <w:i/>
          <w:color w:val="000000"/>
          <w:lang w:val="en-US"/>
        </w:rPr>
        <w:t>Fiscal policy in a depressed economy</w:t>
      </w:r>
    </w:p>
    <w:p w14:paraId="727CEBD1" w14:textId="77777777" w:rsidR="008A66C7" w:rsidRPr="006717F6" w:rsidRDefault="008A66C7" w:rsidP="008A66C7">
      <w:pPr>
        <w:pStyle w:val="Normalweb"/>
        <w:spacing w:before="0" w:beforeAutospacing="0" w:after="0" w:afterAutospacing="0"/>
        <w:jc w:val="both"/>
        <w:rPr>
          <w:color w:val="000000" w:themeColor="text1"/>
          <w:lang w:val="en-US"/>
        </w:rPr>
      </w:pPr>
    </w:p>
    <w:p w14:paraId="18DBDD15" w14:textId="35255CBB" w:rsidR="0086435F" w:rsidRPr="006717F6" w:rsidRDefault="006717F6" w:rsidP="00731A1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b/>
          <w:color w:val="000000"/>
          <w:lang w:eastAsia="en-US"/>
        </w:rPr>
      </w:pPr>
      <w:r w:rsidRPr="006717F6">
        <w:rPr>
          <w:b/>
          <w:color w:val="000000"/>
          <w:lang w:eastAsia="en-US"/>
        </w:rPr>
        <w:t>D</w:t>
      </w:r>
      <w:r w:rsidR="00840EFA" w:rsidRPr="006717F6">
        <w:rPr>
          <w:b/>
          <w:color w:val="000000"/>
          <w:lang w:eastAsia="en-US"/>
        </w:rPr>
        <w:t>) Bonne ou mauvaise dé</w:t>
      </w:r>
      <w:r w:rsidR="0086435F" w:rsidRPr="006717F6">
        <w:rPr>
          <w:b/>
          <w:color w:val="000000"/>
          <w:lang w:eastAsia="en-US"/>
        </w:rPr>
        <w:t xml:space="preserve">flation? </w:t>
      </w:r>
    </w:p>
    <w:p w14:paraId="45BD1DD5" w14:textId="66E66439" w:rsidR="00731A19" w:rsidRDefault="006717F6" w:rsidP="00731A1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Style w:val="apple-converted-space"/>
          <w:color w:val="000000" w:themeColor="text1"/>
          <w:lang w:val="en-US"/>
        </w:rPr>
      </w:pPr>
      <w:r w:rsidRPr="006717F6">
        <w:rPr>
          <w:lang w:val="en-US"/>
        </w:rPr>
        <w:t>Michael Bordo, Joh</w:t>
      </w:r>
      <w:r>
        <w:rPr>
          <w:lang w:val="en-US"/>
        </w:rPr>
        <w:t xml:space="preserve">n Landon Lane et Angela Redish, </w:t>
      </w:r>
      <w:r w:rsidRPr="006717F6">
        <w:rPr>
          <w:lang w:val="en-US"/>
        </w:rPr>
        <w:t>2004</w:t>
      </w:r>
      <w:r>
        <w:rPr>
          <w:lang w:val="en-US"/>
        </w:rPr>
        <w:t>,</w:t>
      </w:r>
      <w:r w:rsidRPr="006717F6">
        <w:rPr>
          <w:rStyle w:val="apple-converted-space"/>
          <w:i/>
          <w:color w:val="000000" w:themeColor="text1"/>
          <w:lang w:val="en-US"/>
        </w:rPr>
        <w:t> Good versus Bad deflation : lessons from the Gold Standard Era</w:t>
      </w:r>
    </w:p>
    <w:p w14:paraId="53C73F7C" w14:textId="2F9FDE76" w:rsidR="006717F6" w:rsidRDefault="006717F6" w:rsidP="00731A1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i/>
          <w:color w:val="000000" w:themeColor="text1"/>
          <w:lang w:val="en-US"/>
        </w:rPr>
      </w:pPr>
      <w:r w:rsidRPr="006717F6">
        <w:rPr>
          <w:color w:val="000000" w:themeColor="text1"/>
          <w:lang w:val="en-US"/>
        </w:rPr>
        <w:t>Claudio Borio, Magdalena Erdem, A</w:t>
      </w:r>
      <w:r>
        <w:rPr>
          <w:color w:val="000000" w:themeColor="text1"/>
          <w:lang w:val="en-US"/>
        </w:rPr>
        <w:t xml:space="preserve">ndrew Filardo et Boris Hofmann, </w:t>
      </w:r>
      <w:r w:rsidRPr="006717F6">
        <w:rPr>
          <w:color w:val="000000" w:themeColor="text1"/>
          <w:lang w:val="en-US"/>
        </w:rPr>
        <w:t>2015</w:t>
      </w:r>
      <w:r>
        <w:rPr>
          <w:color w:val="000000" w:themeColor="text1"/>
          <w:lang w:val="en-US"/>
        </w:rPr>
        <w:t xml:space="preserve">, </w:t>
      </w:r>
      <w:r w:rsidRPr="006717F6">
        <w:rPr>
          <w:i/>
          <w:color w:val="000000" w:themeColor="text1"/>
          <w:lang w:val="en-US"/>
        </w:rPr>
        <w:t xml:space="preserve">The costs of deflations: a historical perspective </w:t>
      </w:r>
    </w:p>
    <w:p w14:paraId="2031BB3E" w14:textId="5663FDB5" w:rsidR="006717F6" w:rsidRDefault="006717F6" w:rsidP="00731A1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color w:val="000000" w:themeColor="text1"/>
          <w:lang w:val="en-US"/>
        </w:rPr>
      </w:pPr>
      <w:r>
        <w:rPr>
          <w:color w:val="000000" w:themeColor="text1"/>
          <w:lang w:val="en-US" w:eastAsia="en-US"/>
        </w:rPr>
        <w:t xml:space="preserve">Barry Eichengreen, 2015, </w:t>
      </w:r>
      <w:r w:rsidRPr="006717F6">
        <w:rPr>
          <w:i/>
          <w:color w:val="000000" w:themeColor="text1"/>
          <w:lang w:val="en-US"/>
        </w:rPr>
        <w:t>Deflation and monetary policy</w:t>
      </w:r>
    </w:p>
    <w:p w14:paraId="5046138D" w14:textId="18F1046C" w:rsidR="006717F6" w:rsidRPr="00485208" w:rsidRDefault="006717F6" w:rsidP="0048520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color w:val="222222"/>
          <w:lang w:val="en-US"/>
        </w:rPr>
      </w:pPr>
      <w:r>
        <w:rPr>
          <w:lang w:val="en-US"/>
        </w:rPr>
        <w:t xml:space="preserve">Larry Summers, </w:t>
      </w:r>
      <w:r w:rsidRPr="006717F6">
        <w:rPr>
          <w:lang w:val="en-US"/>
        </w:rPr>
        <w:t>2014</w:t>
      </w:r>
      <w:r>
        <w:rPr>
          <w:lang w:val="en-US"/>
        </w:rPr>
        <w:t xml:space="preserve">, </w:t>
      </w:r>
      <w:r w:rsidRPr="006717F6">
        <w:rPr>
          <w:i/>
          <w:color w:val="222222"/>
          <w:lang w:val="en-US"/>
        </w:rPr>
        <w:t>U.S. economic prospects: Secular stagnation, hysteresis, and the zero lower boun</w:t>
      </w:r>
      <w:r w:rsidR="00485208">
        <w:rPr>
          <w:i/>
          <w:color w:val="222222"/>
          <w:lang w:val="en-US"/>
        </w:rPr>
        <w:t>d</w:t>
      </w:r>
    </w:p>
    <w:sectPr w:rsidR="006717F6" w:rsidRPr="00485208" w:rsidSect="00731A19">
      <w:footerReference w:type="even" r:id="rId7"/>
      <w:footerReference w:type="default" r:id="rId8"/>
      <w:pgSz w:w="11900" w:h="16840"/>
      <w:pgMar w:top="1011" w:right="1417" w:bottom="98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E2D8EB" w14:textId="77777777" w:rsidR="00B93716" w:rsidRDefault="00B93716" w:rsidP="0086435F">
      <w:r>
        <w:separator/>
      </w:r>
    </w:p>
  </w:endnote>
  <w:endnote w:type="continuationSeparator" w:id="0">
    <w:p w14:paraId="7B6C6171" w14:textId="77777777" w:rsidR="00B93716" w:rsidRDefault="00B93716" w:rsidP="00864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C17967" w14:textId="77777777" w:rsidR="0086435F" w:rsidRDefault="0086435F" w:rsidP="0086435F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5C5B2CF2" w14:textId="77777777" w:rsidR="0086435F" w:rsidRDefault="0086435F" w:rsidP="0086435F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239BF3" w14:textId="77777777" w:rsidR="0086435F" w:rsidRDefault="0086435F" w:rsidP="0086435F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485208">
      <w:rPr>
        <w:rStyle w:val="Numrodepage"/>
        <w:noProof/>
      </w:rPr>
      <w:t>4</w:t>
    </w:r>
    <w:r>
      <w:rPr>
        <w:rStyle w:val="Numrodepage"/>
      </w:rPr>
      <w:fldChar w:fldCharType="end"/>
    </w:r>
  </w:p>
  <w:p w14:paraId="5B22A40D" w14:textId="77777777" w:rsidR="0086435F" w:rsidRDefault="0086435F" w:rsidP="0086435F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D61436" w14:textId="77777777" w:rsidR="00B93716" w:rsidRDefault="00B93716" w:rsidP="0086435F">
      <w:r>
        <w:separator/>
      </w:r>
    </w:p>
  </w:footnote>
  <w:footnote w:type="continuationSeparator" w:id="0">
    <w:p w14:paraId="6E0A7AE0" w14:textId="77777777" w:rsidR="00B93716" w:rsidRDefault="00B93716" w:rsidP="0086435F">
      <w:r>
        <w:continuationSeparator/>
      </w:r>
    </w:p>
  </w:footnote>
  <w:footnote w:id="1">
    <w:p w14:paraId="2228C2E7" w14:textId="6E64133A" w:rsidR="0086435F" w:rsidRDefault="0086435F" w:rsidP="00170642">
      <w:pPr>
        <w:pStyle w:val="Notedebasdepage"/>
        <w:jc w:val="both"/>
      </w:pPr>
      <w:r>
        <w:rPr>
          <w:rStyle w:val="Appelnotedebasdep"/>
        </w:rPr>
        <w:footnoteRef/>
      </w:r>
      <w:r>
        <w:t xml:space="preserve"> </w:t>
      </w:r>
      <w:r w:rsidRPr="003675AC">
        <w:rPr>
          <w:sz w:val="20"/>
          <w:szCs w:val="20"/>
        </w:rPr>
        <w:t xml:space="preserve">La Grande modération est l’expression popularisée par les travaux de Claudio Borio à la Banque des </w:t>
      </w:r>
      <w:r w:rsidR="00592A44" w:rsidRPr="003675AC">
        <w:rPr>
          <w:sz w:val="20"/>
          <w:szCs w:val="20"/>
        </w:rPr>
        <w:t>Règlements</w:t>
      </w:r>
      <w:r w:rsidRPr="003675AC">
        <w:rPr>
          <w:sz w:val="20"/>
          <w:szCs w:val="20"/>
        </w:rPr>
        <w:t xml:space="preserve"> internationaux pour </w:t>
      </w:r>
      <w:r w:rsidR="00592A44" w:rsidRPr="003675AC">
        <w:rPr>
          <w:sz w:val="20"/>
          <w:szCs w:val="20"/>
        </w:rPr>
        <w:t>désigner</w:t>
      </w:r>
      <w:r w:rsidRPr="003675AC">
        <w:rPr>
          <w:sz w:val="20"/>
          <w:szCs w:val="20"/>
        </w:rPr>
        <w:t xml:space="preserve"> l’environnement </w:t>
      </w:r>
      <w:r w:rsidR="00592A44" w:rsidRPr="003675AC">
        <w:rPr>
          <w:sz w:val="20"/>
          <w:szCs w:val="20"/>
        </w:rPr>
        <w:t>macroéconomique</w:t>
      </w:r>
      <w:r w:rsidRPr="003675AC">
        <w:rPr>
          <w:sz w:val="20"/>
          <w:szCs w:val="20"/>
        </w:rPr>
        <w:t xml:space="preserve"> de la fin des </w:t>
      </w:r>
      <w:r w:rsidR="00592A44" w:rsidRPr="003675AC">
        <w:rPr>
          <w:sz w:val="20"/>
          <w:szCs w:val="20"/>
        </w:rPr>
        <w:t>années</w:t>
      </w:r>
      <w:r w:rsidRPr="003675AC">
        <w:rPr>
          <w:sz w:val="20"/>
          <w:szCs w:val="20"/>
        </w:rPr>
        <w:t xml:space="preserve"> 1990 et des </w:t>
      </w:r>
      <w:r w:rsidR="00592A44" w:rsidRPr="003675AC">
        <w:rPr>
          <w:sz w:val="20"/>
          <w:szCs w:val="20"/>
        </w:rPr>
        <w:t>années</w:t>
      </w:r>
      <w:r w:rsidRPr="003675AC">
        <w:rPr>
          <w:sz w:val="20"/>
          <w:szCs w:val="20"/>
        </w:rPr>
        <w:t xml:space="preserve"> 2000 jusqu’au </w:t>
      </w:r>
      <w:r w:rsidR="00592A44" w:rsidRPr="003675AC">
        <w:rPr>
          <w:sz w:val="20"/>
          <w:szCs w:val="20"/>
        </w:rPr>
        <w:t>déclenchement</w:t>
      </w:r>
      <w:r w:rsidRPr="003675AC">
        <w:rPr>
          <w:sz w:val="20"/>
          <w:szCs w:val="20"/>
        </w:rPr>
        <w:t xml:space="preserve"> de la crise </w:t>
      </w:r>
      <w:r w:rsidR="00592A44" w:rsidRPr="003675AC">
        <w:rPr>
          <w:sz w:val="20"/>
          <w:szCs w:val="20"/>
        </w:rPr>
        <w:t>financière</w:t>
      </w:r>
      <w:r w:rsidRPr="003675AC">
        <w:rPr>
          <w:sz w:val="20"/>
          <w:szCs w:val="20"/>
        </w:rPr>
        <w:t xml:space="preserve"> en 2007</w:t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hybridMultilevel"/>
    <w:tmpl w:val="00000005"/>
    <w:lvl w:ilvl="0" w:tplc="00000191"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2093FBE"/>
    <w:multiLevelType w:val="multilevel"/>
    <w:tmpl w:val="2D06B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D261B27"/>
    <w:multiLevelType w:val="multilevel"/>
    <w:tmpl w:val="9F980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3CD46E5"/>
    <w:multiLevelType w:val="multilevel"/>
    <w:tmpl w:val="0BA03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3C91F5D"/>
    <w:multiLevelType w:val="multilevel"/>
    <w:tmpl w:val="DDDC0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26F6AEB"/>
    <w:multiLevelType w:val="multilevel"/>
    <w:tmpl w:val="05749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2CD68DC"/>
    <w:multiLevelType w:val="multilevel"/>
    <w:tmpl w:val="0C9C3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F9E1F02"/>
    <w:multiLevelType w:val="hybridMultilevel"/>
    <w:tmpl w:val="C82E1D5E"/>
    <w:lvl w:ilvl="0" w:tplc="22B85386">
      <w:start w:val="2"/>
      <w:numFmt w:val="bullet"/>
      <w:lvlText w:val="-"/>
      <w:lvlJc w:val="left"/>
      <w:pPr>
        <w:ind w:left="720" w:hanging="360"/>
      </w:pPr>
      <w:rPr>
        <w:rFonts w:ascii="Times" w:eastAsiaTheme="minorHAnsi" w:hAnsi="Times" w:cs="Time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B6236A"/>
    <w:multiLevelType w:val="hybridMultilevel"/>
    <w:tmpl w:val="6E400E26"/>
    <w:lvl w:ilvl="0" w:tplc="18B06F0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6A5DC8"/>
    <w:multiLevelType w:val="multilevel"/>
    <w:tmpl w:val="25F0E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8A351E0"/>
    <w:multiLevelType w:val="multilevel"/>
    <w:tmpl w:val="97CAC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9"/>
  </w:num>
  <w:num w:numId="3">
    <w:abstractNumId w:val="5"/>
  </w:num>
  <w:num w:numId="4">
    <w:abstractNumId w:val="13"/>
  </w:num>
  <w:num w:numId="5">
    <w:abstractNumId w:val="0"/>
  </w:num>
  <w:num w:numId="6">
    <w:abstractNumId w:val="1"/>
  </w:num>
  <w:num w:numId="7">
    <w:abstractNumId w:val="2"/>
  </w:num>
  <w:num w:numId="8">
    <w:abstractNumId w:val="11"/>
  </w:num>
  <w:num w:numId="9">
    <w:abstractNumId w:val="3"/>
  </w:num>
  <w:num w:numId="10">
    <w:abstractNumId w:val="4"/>
  </w:num>
  <w:num w:numId="11">
    <w:abstractNumId w:val="12"/>
  </w:num>
  <w:num w:numId="12">
    <w:abstractNumId w:val="6"/>
  </w:num>
  <w:num w:numId="13">
    <w:abstractNumId w:val="8"/>
  </w:num>
  <w:num w:numId="14">
    <w:abstractNumId w:val="7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35F"/>
    <w:rsid w:val="00105BEF"/>
    <w:rsid w:val="00150B8B"/>
    <w:rsid w:val="00170642"/>
    <w:rsid w:val="00197BA4"/>
    <w:rsid w:val="002744C0"/>
    <w:rsid w:val="003D560F"/>
    <w:rsid w:val="00473E9A"/>
    <w:rsid w:val="00485208"/>
    <w:rsid w:val="004F2102"/>
    <w:rsid w:val="00557440"/>
    <w:rsid w:val="00563FD1"/>
    <w:rsid w:val="00592A44"/>
    <w:rsid w:val="006717F6"/>
    <w:rsid w:val="00714782"/>
    <w:rsid w:val="00731A19"/>
    <w:rsid w:val="00840EFA"/>
    <w:rsid w:val="0086435F"/>
    <w:rsid w:val="008A66C7"/>
    <w:rsid w:val="00963930"/>
    <w:rsid w:val="009902AA"/>
    <w:rsid w:val="00AD39EB"/>
    <w:rsid w:val="00B516A8"/>
    <w:rsid w:val="00B6425B"/>
    <w:rsid w:val="00B726B4"/>
    <w:rsid w:val="00B93716"/>
    <w:rsid w:val="00C942E4"/>
    <w:rsid w:val="00D90D5B"/>
    <w:rsid w:val="00E730CE"/>
    <w:rsid w:val="00EE5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722B23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6435F"/>
    <w:rPr>
      <w:rFonts w:ascii="Times New Roman" w:hAnsi="Times New Roman" w:cs="Times New Roman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86435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link w:val="Titre3Car"/>
    <w:uiPriority w:val="9"/>
    <w:qFormat/>
    <w:rsid w:val="0086435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6435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86435F"/>
    <w:rPr>
      <w:rFonts w:ascii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unhideWhenUsed/>
    <w:rsid w:val="0086435F"/>
    <w:pPr>
      <w:spacing w:before="100" w:beforeAutospacing="1" w:after="100" w:afterAutospacing="1"/>
    </w:pPr>
  </w:style>
  <w:style w:type="paragraph" w:styleId="Pardeliste">
    <w:name w:val="List Paragraph"/>
    <w:basedOn w:val="Normal"/>
    <w:uiPriority w:val="34"/>
    <w:qFormat/>
    <w:rsid w:val="0086435F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86435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6435F"/>
    <w:rPr>
      <w:rFonts w:ascii="Times New Roman" w:hAnsi="Times New Roman" w:cs="Times New Roman"/>
      <w:lang w:eastAsia="fr-FR"/>
    </w:rPr>
  </w:style>
  <w:style w:type="character" w:styleId="Numrodepage">
    <w:name w:val="page number"/>
    <w:basedOn w:val="Policepardfaut"/>
    <w:uiPriority w:val="99"/>
    <w:semiHidden/>
    <w:unhideWhenUsed/>
    <w:rsid w:val="0086435F"/>
  </w:style>
  <w:style w:type="paragraph" w:styleId="TM9">
    <w:name w:val="toc 9"/>
    <w:basedOn w:val="Normal"/>
    <w:next w:val="Normal"/>
    <w:autoRedefine/>
    <w:uiPriority w:val="39"/>
    <w:unhideWhenUsed/>
    <w:rsid w:val="0086435F"/>
    <w:pPr>
      <w:spacing w:after="100"/>
      <w:ind w:left="1871" w:hanging="737"/>
    </w:pPr>
    <w:rPr>
      <w:rFonts w:asciiTheme="minorHAnsi" w:hAnsiTheme="minorHAnsi" w:cstheme="minorBidi"/>
      <w:sz w:val="20"/>
      <w:szCs w:val="22"/>
      <w:lang w:eastAsia="en-US"/>
    </w:rPr>
  </w:style>
  <w:style w:type="paragraph" w:styleId="TM4">
    <w:name w:val="toc 4"/>
    <w:basedOn w:val="Normal"/>
    <w:next w:val="Normal"/>
    <w:autoRedefine/>
    <w:uiPriority w:val="39"/>
    <w:unhideWhenUsed/>
    <w:rsid w:val="0086435F"/>
    <w:pPr>
      <w:spacing w:after="100"/>
      <w:ind w:left="660"/>
    </w:pPr>
    <w:rPr>
      <w:rFonts w:asciiTheme="minorHAnsi" w:hAnsiTheme="minorHAnsi" w:cstheme="minorBidi"/>
      <w:sz w:val="22"/>
      <w:szCs w:val="22"/>
      <w:lang w:eastAsia="en-US"/>
    </w:rPr>
  </w:style>
  <w:style w:type="paragraph" w:styleId="TM5">
    <w:name w:val="toc 5"/>
    <w:basedOn w:val="Normal"/>
    <w:next w:val="Normal"/>
    <w:autoRedefine/>
    <w:uiPriority w:val="39"/>
    <w:unhideWhenUsed/>
    <w:rsid w:val="0086435F"/>
    <w:pPr>
      <w:spacing w:after="100"/>
      <w:ind w:left="880"/>
    </w:pPr>
    <w:rPr>
      <w:rFonts w:asciiTheme="minorHAnsi" w:hAnsiTheme="minorHAnsi" w:cstheme="minorBidi"/>
      <w:sz w:val="22"/>
      <w:szCs w:val="22"/>
      <w:lang w:eastAsia="en-US"/>
    </w:rPr>
  </w:style>
  <w:style w:type="paragraph" w:styleId="TM2">
    <w:name w:val="toc 2"/>
    <w:basedOn w:val="Normal"/>
    <w:next w:val="Normal"/>
    <w:autoRedefine/>
    <w:uiPriority w:val="39"/>
    <w:semiHidden/>
    <w:unhideWhenUsed/>
    <w:rsid w:val="0086435F"/>
    <w:pPr>
      <w:spacing w:after="100"/>
      <w:ind w:left="240"/>
    </w:pPr>
  </w:style>
  <w:style w:type="paragraph" w:styleId="TM6">
    <w:name w:val="toc 6"/>
    <w:basedOn w:val="Normal"/>
    <w:next w:val="Normal"/>
    <w:autoRedefine/>
    <w:uiPriority w:val="39"/>
    <w:unhideWhenUsed/>
    <w:rsid w:val="0086435F"/>
    <w:pPr>
      <w:spacing w:after="100"/>
      <w:ind w:left="1100"/>
    </w:pPr>
    <w:rPr>
      <w:rFonts w:asciiTheme="minorHAnsi" w:hAnsiTheme="minorHAnsi" w:cstheme="minorBidi"/>
      <w:sz w:val="22"/>
      <w:szCs w:val="22"/>
      <w:lang w:eastAsia="en-US"/>
    </w:rPr>
  </w:style>
  <w:style w:type="paragraph" w:styleId="TM7">
    <w:name w:val="toc 7"/>
    <w:basedOn w:val="Normal"/>
    <w:next w:val="Normal"/>
    <w:autoRedefine/>
    <w:uiPriority w:val="39"/>
    <w:unhideWhenUsed/>
    <w:rsid w:val="0086435F"/>
    <w:pPr>
      <w:spacing w:after="100"/>
      <w:ind w:left="1320"/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Policepardfaut"/>
    <w:rsid w:val="0086435F"/>
  </w:style>
  <w:style w:type="character" w:styleId="Emphase">
    <w:name w:val="Emphasis"/>
    <w:basedOn w:val="Policepardfaut"/>
    <w:uiPriority w:val="20"/>
    <w:qFormat/>
    <w:rsid w:val="0086435F"/>
    <w:rPr>
      <w:i/>
      <w:iCs/>
    </w:rPr>
  </w:style>
  <w:style w:type="paragraph" w:styleId="Notedebasdepage">
    <w:name w:val="footnote text"/>
    <w:basedOn w:val="Normal"/>
    <w:link w:val="NotedebasdepageCar"/>
    <w:uiPriority w:val="99"/>
    <w:unhideWhenUsed/>
    <w:rsid w:val="0086435F"/>
  </w:style>
  <w:style w:type="character" w:customStyle="1" w:styleId="NotedebasdepageCar">
    <w:name w:val="Note de bas de page Car"/>
    <w:basedOn w:val="Policepardfaut"/>
    <w:link w:val="Notedebasdepage"/>
    <w:uiPriority w:val="99"/>
    <w:rsid w:val="0086435F"/>
    <w:rPr>
      <w:rFonts w:ascii="Times New Roman" w:hAnsi="Times New Roman" w:cs="Times New Roman"/>
      <w:lang w:eastAsia="fr-FR"/>
    </w:rPr>
  </w:style>
  <w:style w:type="character" w:styleId="Appelnotedebasdep">
    <w:name w:val="footnote reference"/>
    <w:basedOn w:val="Policepardfaut"/>
    <w:uiPriority w:val="99"/>
    <w:unhideWhenUsed/>
    <w:rsid w:val="0086435F"/>
    <w:rPr>
      <w:vertAlign w:val="superscript"/>
    </w:rPr>
  </w:style>
  <w:style w:type="paragraph" w:customStyle="1" w:styleId="articleparagraph">
    <w:name w:val="article__paragraph"/>
    <w:basedOn w:val="Normal"/>
    <w:rsid w:val="0086435F"/>
    <w:pPr>
      <w:spacing w:before="100" w:beforeAutospacing="1" w:after="100" w:afterAutospacing="1"/>
    </w:pPr>
  </w:style>
  <w:style w:type="paragraph" w:customStyle="1" w:styleId="paragraphe">
    <w:name w:val="paragraphe"/>
    <w:basedOn w:val="Normal"/>
    <w:rsid w:val="0086435F"/>
    <w:pPr>
      <w:spacing w:before="100" w:beforeAutospacing="1" w:after="100" w:afterAutospacing="1"/>
    </w:pPr>
  </w:style>
  <w:style w:type="character" w:styleId="Lienhypertexte">
    <w:name w:val="Hyperlink"/>
    <w:basedOn w:val="Policepardfaut"/>
    <w:uiPriority w:val="99"/>
    <w:unhideWhenUsed/>
    <w:rsid w:val="0086435F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86435F"/>
    <w:rPr>
      <w:b/>
      <w:bCs/>
    </w:rPr>
  </w:style>
  <w:style w:type="paragraph" w:customStyle="1" w:styleId="para">
    <w:name w:val="para"/>
    <w:basedOn w:val="Normal"/>
    <w:rsid w:val="0086435F"/>
    <w:pPr>
      <w:spacing w:before="100" w:beforeAutospacing="1" w:after="100" w:afterAutospacing="1"/>
    </w:pPr>
  </w:style>
  <w:style w:type="character" w:customStyle="1" w:styleId="marquage">
    <w:name w:val="marquage"/>
    <w:basedOn w:val="Policepardfaut"/>
    <w:rsid w:val="0086435F"/>
  </w:style>
  <w:style w:type="character" w:styleId="Lienhypertextevisit">
    <w:name w:val="FollowedHyperlink"/>
    <w:basedOn w:val="Policepardfaut"/>
    <w:uiPriority w:val="99"/>
    <w:semiHidden/>
    <w:unhideWhenUsed/>
    <w:rsid w:val="00840EF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23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040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5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2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9991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0835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87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356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0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7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1028</Words>
  <Characters>5654</Characters>
  <Application>Microsoft Macintosh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guillaume labrouze</dc:creator>
  <cp:keywords/>
  <dc:description/>
  <cp:lastModifiedBy>guillaume labrouze</cp:lastModifiedBy>
  <cp:revision>3</cp:revision>
  <dcterms:created xsi:type="dcterms:W3CDTF">2020-08-25T12:37:00Z</dcterms:created>
  <dcterms:modified xsi:type="dcterms:W3CDTF">2020-08-25T12:38:00Z</dcterms:modified>
</cp:coreProperties>
</file>