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  <w:r>
        <w:rPr>
          <w:rStyle w:val="Aucun"/>
          <w:rFonts w:ascii="Times Roman" w:hAnsi="Times Roman"/>
          <w:sz w:val="32"/>
          <w:szCs w:val="32"/>
          <w:rtl w:val="0"/>
          <w:lang w:val="it-IT"/>
        </w:rPr>
        <w:t>La sensibilit</w:t>
      </w:r>
      <w:r>
        <w:rPr>
          <w:rStyle w:val="Aucun"/>
          <w:rFonts w:ascii="Times Roman" w:hAnsi="Times Roman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32"/>
          <w:szCs w:val="32"/>
          <w:rtl w:val="0"/>
          <w:lang w:val="fr-FR"/>
        </w:rPr>
        <w:t>est-elle une faiblesse</w:t>
      </w:r>
      <w:r>
        <w:rPr>
          <w:rStyle w:val="Aucun"/>
          <w:rFonts w:ascii="Times Roman" w:hAnsi="Times Roman" w:hint="default"/>
          <w:sz w:val="32"/>
          <w:szCs w:val="32"/>
          <w:rtl w:val="0"/>
          <w:lang w:val="fr-FR"/>
        </w:rPr>
        <w:t> </w:t>
      </w:r>
      <w:r>
        <w:rPr>
          <w:rStyle w:val="Aucun"/>
          <w:rFonts w:ascii="Times Roman" w:hAnsi="Times Roman"/>
          <w:sz w:val="32"/>
          <w:szCs w:val="32"/>
          <w:rtl w:val="0"/>
          <w:lang w:val="zh-TW" w:eastAsia="zh-TW"/>
        </w:rPr>
        <w:t>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Bibliographie indicative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</w:pP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en-US"/>
        </w:rPr>
        <w:t>Epict</w:t>
      </w:r>
      <w:r>
        <w:rPr>
          <w:rStyle w:val="Aucun"/>
          <w:rFonts w:ascii="Helvetica" w:hAnsi="Helvetica" w:hint="default"/>
          <w:i w:val="0"/>
          <w:iCs w:val="0"/>
          <w:sz w:val="24"/>
          <w:szCs w:val="24"/>
          <w:rtl w:val="0"/>
          <w:lang w:val="it-IT"/>
        </w:rPr>
        <w:t>è</w:t>
      </w: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</w:rPr>
        <w:t xml:space="preserve">te,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Manuel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</w:pP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fr-FR"/>
        </w:rPr>
        <w:t>Hume</w:t>
      </w: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fr-FR"/>
        </w:rPr>
        <w:t>,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s-ES_tradnl"/>
        </w:rPr>
        <w:t xml:space="preserve"> De la d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licatesse du go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û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t et de la passion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</w:pP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fr-FR"/>
        </w:rPr>
        <w:t>Rousseau</w:t>
      </w: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fr-FR"/>
        </w:rPr>
        <w:t>,</w:t>
      </w: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</w:rPr>
        <w:t xml:space="preserve">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Discours sur l'origine et le fondement des in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galit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s parmi les hommes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4"/>
          <w:szCs w:val="24"/>
          <w:rtl w:val="0"/>
        </w:rPr>
      </w:pP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</w:rPr>
        <w:t>Bergson</w:t>
      </w:r>
      <w:r>
        <w:rPr>
          <w:rStyle w:val="Aucun"/>
          <w:rFonts w:ascii="Helvetica" w:hAnsi="Helvetica"/>
          <w:i w:val="0"/>
          <w:iCs w:val="0"/>
          <w:sz w:val="24"/>
          <w:szCs w:val="24"/>
          <w:rtl w:val="0"/>
          <w:lang w:val="fr-FR"/>
        </w:rPr>
        <w:t>,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Le rire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  <w:lang w:val="fr-FR"/>
        </w:rPr>
        <w:t xml:space="preserve">Cherchez rapidement </w:t>
      </w:r>
      <w:r>
        <w:rPr>
          <w:sz w:val="24"/>
          <w:szCs w:val="24"/>
          <w:rtl w:val="0"/>
          <w:lang w:val="fr-FR"/>
        </w:rPr>
        <w:t>un passage 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ressant en </w:t>
      </w:r>
      <w:r>
        <w:rPr>
          <w:sz w:val="24"/>
          <w:szCs w:val="24"/>
          <w:rtl w:val="0"/>
          <w:lang w:val="fr-FR"/>
        </w:rPr>
        <w:t xml:space="preserve">vous </w:t>
      </w:r>
      <w:r>
        <w:rPr>
          <w:sz w:val="24"/>
          <w:szCs w:val="24"/>
          <w:rtl w:val="0"/>
          <w:lang w:val="fr-FR"/>
        </w:rPr>
        <w:t>aidant de la table des mati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 xml:space="preserve">res ou en parcourant le livre.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it-IT"/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