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  <w:r>
        <w:rPr>
          <w:sz w:val="32"/>
          <w:szCs w:val="32"/>
          <w:rtl w:val="0"/>
          <w:lang w:val="fr-FR"/>
        </w:rPr>
        <w:t xml:space="preserve">« </w:t>
      </w:r>
      <w:r>
        <w:rPr>
          <w:sz w:val="32"/>
          <w:szCs w:val="32"/>
          <w:rtl w:val="0"/>
          <w:lang w:val="fr-FR"/>
        </w:rPr>
        <w:t xml:space="preserve">Nous sommes tous des assassins. </w:t>
      </w:r>
      <w:r>
        <w:rPr>
          <w:sz w:val="32"/>
          <w:szCs w:val="32"/>
          <w:rtl w:val="0"/>
          <w:lang w:val="it-IT"/>
        </w:rPr>
        <w:t>»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>Pistes bibliographiques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Helvetica" w:hAnsi="Helvetica"/>
          <w:sz w:val="24"/>
          <w:szCs w:val="24"/>
          <w:rtl w:val="0"/>
          <w:lang w:val="fr-FR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﻿﻿Saint Augustin,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Les Confessions</w:t>
      </w:r>
      <w:r>
        <w:rPr>
          <w:rFonts w:ascii="Helvetica" w:hAnsi="Helvetica"/>
          <w:sz w:val="24"/>
          <w:szCs w:val="24"/>
          <w:rtl w:val="0"/>
        </w:rPr>
        <w:t>, II, 2</w:t>
      </w:r>
    </w:p>
    <w:p>
      <w:pPr>
        <w:pStyle w:val="Par défau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Helvetica" w:hAnsi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﻿﻿Gram</w:t>
      </w:r>
      <w:r>
        <w:rPr>
          <w:rFonts w:ascii="Helvetica" w:hAnsi="Helvetica"/>
          <w:sz w:val="24"/>
          <w:szCs w:val="24"/>
          <w:rtl w:val="0"/>
          <w:lang w:val="fr-FR"/>
        </w:rPr>
        <w:t>sc</w:t>
      </w:r>
      <w:r>
        <w:rPr>
          <w:rFonts w:ascii="Helvetica" w:hAnsi="Helvetica"/>
          <w:sz w:val="24"/>
          <w:szCs w:val="24"/>
          <w:rtl w:val="0"/>
        </w:rPr>
        <w:t xml:space="preserve">i,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La ville future</w:t>
      </w:r>
      <w:r>
        <w:rPr>
          <w:rFonts w:ascii="Helvetica" w:hAnsi="Helvetica"/>
          <w:sz w:val="24"/>
          <w:szCs w:val="24"/>
          <w:rtl w:val="0"/>
          <w:lang w:val="it-IT"/>
        </w:rPr>
        <w:t>, Il Grido del Popolo, n. 655, 11 f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vrier 1917, et Avanti !, an XXI, n.43, 12 f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vrier 1917</w:t>
      </w:r>
    </w:p>
    <w:p>
      <w:pPr>
        <w:pStyle w:val="Par défau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Helvetica" w:hAnsi="Helvetica"/>
          <w:sz w:val="24"/>
          <w:szCs w:val="24"/>
          <w:rtl w:val="0"/>
          <w:lang w:val="da-DK"/>
        </w:rPr>
      </w:pPr>
      <w:r>
        <w:rPr>
          <w:rFonts w:ascii="Helvetica" w:hAnsi="Helvetica"/>
          <w:sz w:val="24"/>
          <w:szCs w:val="24"/>
          <w:rtl w:val="0"/>
          <w:lang w:val="da-DK"/>
        </w:rPr>
        <w:t xml:space="preserve">﻿﻿Arendt,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 w:hAnsi="Helvetica"/>
          <w:sz w:val="24"/>
          <w:szCs w:val="24"/>
          <w:rtl w:val="0"/>
          <w:lang w:val="fr-FR"/>
        </w:rPr>
        <w:t>La responsabilit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collective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Responsabilit</w:t>
      </w:r>
      <w:r>
        <w:rPr>
          <w:rStyle w:val="Aucun"/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et jugement,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Payot p. 200-202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Rappel: l'usage de Chatgpt est strictement interdit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