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C353" w14:textId="60C4D823" w:rsidR="00F201E7" w:rsidRPr="00813AD8" w:rsidRDefault="00813AD8" w:rsidP="00813AD8">
      <w:pPr>
        <w:jc w:val="center"/>
        <w:rPr>
          <w:b/>
          <w:bCs/>
          <w:lang w:val="es-ES"/>
        </w:rPr>
      </w:pPr>
      <w:bookmarkStart w:id="0" w:name="_Hlk216616025"/>
      <w:bookmarkEnd w:id="0"/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993E" wp14:editId="07C71149">
                <wp:simplePos x="0" y="0"/>
                <wp:positionH relativeFrom="column">
                  <wp:posOffset>4990465</wp:posOffset>
                </wp:positionH>
                <wp:positionV relativeFrom="paragraph">
                  <wp:posOffset>-655955</wp:posOffset>
                </wp:positionV>
                <wp:extent cx="1379220" cy="830580"/>
                <wp:effectExtent l="0" t="0" r="11430" b="26670"/>
                <wp:wrapNone/>
                <wp:docPr id="16156962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830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7E5C8" w14:textId="6733EE25" w:rsidR="00813AD8" w:rsidRDefault="00813AD8" w:rsidP="00813AD8">
                            <w:pPr>
                              <w:spacing w:after="0"/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204AFC46" w14:textId="5995868C" w:rsidR="00813AD8" w:rsidRDefault="00813AD8" w:rsidP="00813AD8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Civi</w:t>
                            </w:r>
                            <w:proofErr w:type="spellEnd"/>
                          </w:p>
                          <w:p w14:paraId="318B4FB3" w14:textId="22133DEA" w:rsidR="00813AD8" w:rsidRDefault="00813AD8" w:rsidP="00813AD8">
                            <w:pPr>
                              <w:spacing w:after="0"/>
                              <w:jc w:val="center"/>
                            </w:pPr>
                            <w:r>
                              <w:t>Tema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4993E" id="Rectangle 2" o:spid="_x0000_s1026" style="position:absolute;left:0;text-align:left;margin-left:392.95pt;margin-top:-51.65pt;width:108.6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" fillcolor="white [3201]" strokecolor="black [3213]" strokeweight="1pt">
                <v:textbox>
                  <w:txbxContent>
                    <w:p w14:paraId="58C7E5C8" w14:textId="6733EE25" w:rsidR="00813AD8" w:rsidRDefault="00813AD8" w:rsidP="00813AD8">
                      <w:pPr>
                        <w:spacing w:after="0"/>
                        <w:jc w:val="center"/>
                      </w:pPr>
                      <w:r>
                        <w:t>ECG2</w:t>
                      </w:r>
                    </w:p>
                    <w:p w14:paraId="204AFC46" w14:textId="5995868C" w:rsidR="00813AD8" w:rsidRDefault="00813AD8" w:rsidP="00813AD8">
                      <w:pPr>
                        <w:spacing w:after="0"/>
                        <w:jc w:val="center"/>
                      </w:pPr>
                      <w:proofErr w:type="spellStart"/>
                      <w:r>
                        <w:t>Civi</w:t>
                      </w:r>
                      <w:proofErr w:type="spellEnd"/>
                    </w:p>
                    <w:p w14:paraId="318B4FB3" w14:textId="22133DEA" w:rsidR="00813AD8" w:rsidRDefault="00813AD8" w:rsidP="00813AD8">
                      <w:pPr>
                        <w:spacing w:after="0"/>
                        <w:jc w:val="center"/>
                      </w:pPr>
                      <w:r>
                        <w:t>Tema 5</w:t>
                      </w:r>
                    </w:p>
                  </w:txbxContent>
                </v:textbox>
              </v:rect>
            </w:pict>
          </mc:Fallback>
        </mc:AlternateContent>
      </w:r>
      <w:r w:rsidR="00050730" w:rsidRPr="00813AD8">
        <w:rPr>
          <w:b/>
          <w:bCs/>
          <w:lang w:val="es-ES"/>
        </w:rPr>
        <w:t>CHILE 2025</w:t>
      </w:r>
    </w:p>
    <w:p w14:paraId="4B65D42B" w14:textId="23C2895F" w:rsidR="00865A9F" w:rsidRPr="00813AD8" w:rsidRDefault="00813AD8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2272A9F4" wp14:editId="23EEB003">
            <wp:extent cx="495300" cy="495300"/>
            <wp:effectExtent l="0" t="0" r="0" b="0"/>
            <wp:docPr id="1384671940" name="Graphique 1" descr="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71940" name="Graphique 1384671940" descr="Maison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es-ES"/>
        </w:rPr>
        <w:t xml:space="preserve">  </w:t>
      </w:r>
      <w:r w:rsidR="00865A9F" w:rsidRPr="00813AD8">
        <w:rPr>
          <w:b/>
          <w:bCs/>
          <w:lang w:val="es-ES"/>
        </w:rPr>
        <w:t>Introducción: Chile</w:t>
      </w:r>
      <w:r>
        <w:rPr>
          <w:b/>
          <w:bCs/>
          <w:lang w:val="es-ES"/>
        </w:rPr>
        <w:t>, la esperanza del cambio</w:t>
      </w:r>
    </w:p>
    <w:p w14:paraId="117A6696" w14:textId="1BBAFEBC" w:rsidR="00D40A38" w:rsidRPr="00D40A38" w:rsidRDefault="00D40A38" w:rsidP="00865A9F">
      <w:pPr>
        <w:rPr>
          <w:lang w:val="es-ES"/>
        </w:rPr>
      </w:pPr>
      <w:hyperlink r:id="rId7" w:history="1">
        <w:r w:rsidRPr="00C92AD5">
          <w:rPr>
            <w:rStyle w:val="Lienhypertexte"/>
            <w:lang w:val="es-ES"/>
          </w:rPr>
          <w:t>https://www.arte.tv/es/videos/108458-003-A/el-reves-de-los-mapas</w:t>
        </w:r>
      </w:hyperlink>
      <w:r>
        <w:rPr>
          <w:lang w:val="es-ES"/>
        </w:rPr>
        <w:t xml:space="preserve"> </w:t>
      </w:r>
      <w:r w:rsidRPr="00D40A38">
        <w:rPr>
          <w:lang w:val="es-ES"/>
        </w:rPr>
        <w:t xml:space="preserve"> </w:t>
      </w:r>
    </w:p>
    <w:p w14:paraId="19ADCED1" w14:textId="52AFCAE7" w:rsidR="00D40A38" w:rsidRDefault="00D40A38" w:rsidP="00865A9F">
      <w:pPr>
        <w:rPr>
          <w:b/>
          <w:bCs/>
          <w:lang w:val="es-ES"/>
        </w:rPr>
      </w:pPr>
      <w:r>
        <w:rPr>
          <w:b/>
          <w:bCs/>
          <w:lang w:val="es-ES"/>
        </w:rPr>
        <w:t>15 cosas que hay que conocer</w:t>
      </w:r>
    </w:p>
    <w:p w14:paraId="58BC46FF" w14:textId="77777777" w:rsid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  <w:sectPr w:rsidR="00D40A3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B1F12F" w14:textId="77AC530E" w:rsid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76BB105E" w14:textId="28FB49BB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016FD2E0" w14:textId="4B485856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39F97E11" w14:textId="3171A712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33662FD7" w14:textId="7023307B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72460BFE" w14:textId="1107E1D0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0446F4A8" w14:textId="766E973D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31247B5E" w14:textId="0BAD0596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5F9D90AD" w14:textId="07BBF9E0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3AC41A49" w14:textId="516DCA8F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10312968" w14:textId="7C00B506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490E27D0" w14:textId="422DA8A8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3F1A36C5" w14:textId="6CAC0A13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6BB40618" w14:textId="1F0B5AF6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</w:pPr>
      <w:r>
        <w:rPr>
          <w:lang w:val="es-ES"/>
        </w:rPr>
        <w:t>……………………………………………………</w:t>
      </w:r>
    </w:p>
    <w:p w14:paraId="49FC85F8" w14:textId="55AEE444" w:rsidR="00D40A38" w:rsidRPr="00D40A38" w:rsidRDefault="00D40A38" w:rsidP="00D40A38">
      <w:pPr>
        <w:pStyle w:val="Paragraphedeliste"/>
        <w:numPr>
          <w:ilvl w:val="0"/>
          <w:numId w:val="10"/>
        </w:numPr>
        <w:rPr>
          <w:lang w:val="es-ES"/>
        </w:rPr>
        <w:sectPr w:rsidR="00D40A38" w:rsidRPr="00D40A38" w:rsidSect="00D40A3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lang w:val="es-ES"/>
        </w:rPr>
        <w:t>……………………………………………………</w:t>
      </w:r>
    </w:p>
    <w:p w14:paraId="6A987B32" w14:textId="77777777" w:rsidR="00D40A38" w:rsidRPr="00D40A38" w:rsidRDefault="00D40A38" w:rsidP="00D40A38">
      <w:pPr>
        <w:pStyle w:val="Paragraphedeliste"/>
        <w:rPr>
          <w:lang w:val="es-ES"/>
        </w:rPr>
      </w:pPr>
    </w:p>
    <w:p w14:paraId="6B70458B" w14:textId="03F542F9" w:rsidR="00865A9F" w:rsidRDefault="00813AD8" w:rsidP="00813AD8">
      <w:pPr>
        <w:pStyle w:val="Paragraphedeliste"/>
        <w:numPr>
          <w:ilvl w:val="0"/>
          <w:numId w:val="4"/>
        </w:numPr>
        <w:rPr>
          <w:b/>
          <w:bCs/>
          <w:lang w:val="es-ES"/>
        </w:rPr>
      </w:pPr>
      <w:r w:rsidRPr="00813AD8">
        <w:rPr>
          <w:b/>
          <w:bCs/>
          <w:lang w:val="es-ES"/>
        </w:rPr>
        <w:t xml:space="preserve">Retrospectiva Chile de Allende hasta hoy: </w:t>
      </w:r>
      <w:r w:rsidR="006332D6" w:rsidRPr="00813AD8">
        <w:rPr>
          <w:b/>
          <w:bCs/>
          <w:lang w:val="es-ES"/>
        </w:rPr>
        <w:t>Restitución</w:t>
      </w:r>
      <w:r w:rsidRPr="00813AD8">
        <w:rPr>
          <w:b/>
          <w:bCs/>
          <w:lang w:val="es-ES"/>
        </w:rPr>
        <w:t xml:space="preserve"> trabajo de grupos</w:t>
      </w:r>
    </w:p>
    <w:p w14:paraId="522461FF" w14:textId="77777777" w:rsidR="006332D6" w:rsidRDefault="006332D6" w:rsidP="006332D6">
      <w:pPr>
        <w:pStyle w:val="Paragraphedeliste"/>
        <w:ind w:left="1080"/>
        <w:rPr>
          <w:b/>
          <w:bCs/>
          <w:lang w:val="es-ES"/>
        </w:rPr>
      </w:pPr>
    </w:p>
    <w:p w14:paraId="4800D0B9" w14:textId="4C60B191" w:rsidR="006332D6" w:rsidRPr="006332D6" w:rsidRDefault="006332D6" w:rsidP="006332D6">
      <w:pPr>
        <w:pStyle w:val="Paragraphedeliste"/>
        <w:numPr>
          <w:ilvl w:val="0"/>
          <w:numId w:val="8"/>
        </w:numPr>
        <w:rPr>
          <w:b/>
          <w:bCs/>
          <w:lang w:val="es-ES"/>
        </w:rPr>
      </w:pPr>
      <w:r>
        <w:rPr>
          <w:b/>
          <w:bCs/>
          <w:lang w:val="es-ES"/>
        </w:rPr>
        <w:t>Tomar apuntes para ser capaz de explicar lo esencial de…</w:t>
      </w:r>
    </w:p>
    <w:p w14:paraId="0AE98BE7" w14:textId="5546B42D" w:rsidR="00813AD8" w:rsidRDefault="00813AD8" w:rsidP="00813AD8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La victoria de Salvador Allende</w:t>
      </w:r>
    </w:p>
    <w:p w14:paraId="4E4BE20C" w14:textId="2A4D4A7F" w:rsidR="00813AD8" w:rsidRDefault="00813AD8" w:rsidP="00813AD8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El golpe de Estado del 11/09/1973</w:t>
      </w:r>
    </w:p>
    <w:p w14:paraId="2B1F9AC8" w14:textId="679DE412" w:rsidR="00813AD8" w:rsidRDefault="00813AD8" w:rsidP="00813AD8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LA dictadura de Pinochet</w:t>
      </w:r>
    </w:p>
    <w:p w14:paraId="49FCF692" w14:textId="0AE26B05" w:rsidR="00813AD8" w:rsidRDefault="00813AD8" w:rsidP="00813AD8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Del retorno a la democracia al estallido social de 2019</w:t>
      </w:r>
    </w:p>
    <w:p w14:paraId="780B5654" w14:textId="68E1DE05" w:rsidR="00813AD8" w:rsidRDefault="00813AD8" w:rsidP="00813AD8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El culebrón constitucional</w:t>
      </w:r>
    </w:p>
    <w:p w14:paraId="325A0710" w14:textId="193AC5B2" w:rsidR="00813AD8" w:rsidRDefault="00813AD8" w:rsidP="00813AD8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El balance de </w:t>
      </w:r>
      <w:proofErr w:type="spellStart"/>
      <w:r>
        <w:rPr>
          <w:lang w:val="es-ES"/>
        </w:rPr>
        <w:t>Boric</w:t>
      </w:r>
      <w:proofErr w:type="spellEnd"/>
    </w:p>
    <w:p w14:paraId="7FCDF162" w14:textId="77777777" w:rsidR="00813AD8" w:rsidRDefault="00813AD8" w:rsidP="00813AD8">
      <w:pPr>
        <w:rPr>
          <w:lang w:val="es-ES"/>
        </w:rPr>
      </w:pPr>
    </w:p>
    <w:p w14:paraId="67146FE3" w14:textId="26E6980D" w:rsidR="00813AD8" w:rsidRDefault="00813AD8" w:rsidP="00813AD8">
      <w:pPr>
        <w:pStyle w:val="Paragraphedeliste"/>
        <w:numPr>
          <w:ilvl w:val="0"/>
          <w:numId w:val="4"/>
        </w:numPr>
        <w:rPr>
          <w:b/>
          <w:bCs/>
          <w:lang w:val="es-ES"/>
        </w:rPr>
      </w:pPr>
      <w:r>
        <w:rPr>
          <w:b/>
          <w:bCs/>
          <w:lang w:val="es-ES"/>
        </w:rPr>
        <w:t>Elecciones 2025</w:t>
      </w:r>
    </w:p>
    <w:p w14:paraId="11E2CAD5" w14:textId="77777777" w:rsidR="006332D6" w:rsidRDefault="006332D6" w:rsidP="006332D6">
      <w:pPr>
        <w:pStyle w:val="Paragraphedeliste"/>
        <w:ind w:left="1080"/>
        <w:rPr>
          <w:b/>
          <w:bCs/>
          <w:lang w:val="es-ES"/>
        </w:rPr>
      </w:pPr>
    </w:p>
    <w:p w14:paraId="6A788E19" w14:textId="5B8A9CE1" w:rsidR="007B6B27" w:rsidRPr="007B6B27" w:rsidRDefault="007B6B27" w:rsidP="007B6B27">
      <w:pPr>
        <w:pStyle w:val="Paragraphedeliste"/>
        <w:numPr>
          <w:ilvl w:val="0"/>
          <w:numId w:val="7"/>
        </w:numPr>
        <w:rPr>
          <w:b/>
          <w:bCs/>
          <w:lang w:val="es-ES"/>
        </w:rPr>
      </w:pPr>
      <w:r>
        <w:rPr>
          <w:b/>
          <w:bCs/>
          <w:lang w:val="es-ES"/>
        </w:rPr>
        <w:t>Comprensión oral:</w:t>
      </w:r>
      <w:r w:rsidRPr="007B6B27">
        <w:rPr>
          <w:lang w:val="es-ES"/>
        </w:rPr>
        <w:t xml:space="preserve"> </w:t>
      </w:r>
      <w:r w:rsidRPr="00050730">
        <w:rPr>
          <w:lang w:val="es-ES"/>
        </w:rPr>
        <w:t>las</w:t>
      </w:r>
      <w:r>
        <w:rPr>
          <w:lang w:val="es-ES"/>
        </w:rPr>
        <w:t xml:space="preserve"> dos fuerzas que compiten en Chile</w:t>
      </w:r>
    </w:p>
    <w:p w14:paraId="07EE7296" w14:textId="4F04B265" w:rsidR="00050730" w:rsidRDefault="00D40A38">
      <w:pPr>
        <w:rPr>
          <w:lang w:val="es-ES"/>
        </w:rPr>
      </w:pPr>
      <w:hyperlink r:id="rId8" w:history="1">
        <w:r w:rsidRPr="00C92AD5">
          <w:rPr>
            <w:rStyle w:val="Lienhypertexte"/>
            <w:lang w:val="es-ES"/>
          </w:rPr>
          <w:t>https://www.youtube.com/watch?v=6Ad5xUVucRw</w:t>
        </w:r>
      </w:hyperlink>
      <w:r w:rsidR="00050730" w:rsidRPr="00050730">
        <w:rPr>
          <w:lang w:val="es-ES"/>
        </w:rPr>
        <w:t xml:space="preserve"> </w:t>
      </w:r>
    </w:p>
    <w:p w14:paraId="2D1FCE1E" w14:textId="77777777" w:rsidR="006332D6" w:rsidRDefault="006332D6">
      <w:pPr>
        <w:rPr>
          <w:lang w:val="es-ES"/>
        </w:rPr>
      </w:pPr>
    </w:p>
    <w:p w14:paraId="06695407" w14:textId="526EAA22" w:rsidR="00050730" w:rsidRDefault="007B6B27" w:rsidP="007B6B27">
      <w:pPr>
        <w:pStyle w:val="Paragraphedeliste"/>
        <w:numPr>
          <w:ilvl w:val="0"/>
          <w:numId w:val="7"/>
        </w:numPr>
        <w:rPr>
          <w:b/>
          <w:bCs/>
          <w:lang w:val="es-ES"/>
        </w:rPr>
      </w:pPr>
      <w:r w:rsidRPr="007B6B27">
        <w:rPr>
          <w:b/>
          <w:bCs/>
          <w:lang w:val="es-ES"/>
        </w:rPr>
        <w:t>Análisis de los programas d</w:t>
      </w:r>
      <w:r>
        <w:rPr>
          <w:b/>
          <w:bCs/>
          <w:lang w:val="es-ES"/>
        </w:rPr>
        <w:t xml:space="preserve">e los 2 candidatos </w:t>
      </w:r>
    </w:p>
    <w:p w14:paraId="5AA03074" w14:textId="77777777" w:rsidR="006332D6" w:rsidRDefault="006332D6" w:rsidP="006332D6">
      <w:pPr>
        <w:pStyle w:val="Paragraphedeliste"/>
        <w:rPr>
          <w:b/>
          <w:bCs/>
          <w:lang w:val="es-ES"/>
        </w:rPr>
      </w:pPr>
    </w:p>
    <w:p w14:paraId="5BE2195F" w14:textId="2D2E490D" w:rsidR="007B6B27" w:rsidRPr="007B6B27" w:rsidRDefault="007B6B27" w:rsidP="007B6B27">
      <w:pPr>
        <w:pStyle w:val="Paragraphedeliste"/>
        <w:numPr>
          <w:ilvl w:val="0"/>
          <w:numId w:val="7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Factores explicativos de la </w:t>
      </w:r>
      <w:r w:rsidR="006332D6">
        <w:rPr>
          <w:b/>
          <w:bCs/>
          <w:lang w:val="es-ES"/>
        </w:rPr>
        <w:t>victoria de Kast: comprensión escrita</w:t>
      </w:r>
      <w:r w:rsidR="00D40A38">
        <w:rPr>
          <w:b/>
          <w:bCs/>
          <w:lang w:val="es-ES"/>
        </w:rPr>
        <w:t>: 4 textos</w:t>
      </w:r>
    </w:p>
    <w:p w14:paraId="5C1C56A1" w14:textId="77777777" w:rsidR="007B6B27" w:rsidRPr="006332D6" w:rsidRDefault="007B6B27" w:rsidP="00865A9F">
      <w:pPr>
        <w:rPr>
          <w:b/>
          <w:bCs/>
          <w:lang w:val="es-ES"/>
        </w:rPr>
      </w:pPr>
    </w:p>
    <w:p w14:paraId="2FC93DC9" w14:textId="602A917D" w:rsidR="00865A9F" w:rsidRPr="007B6B27" w:rsidRDefault="00865A9F" w:rsidP="00865A9F">
      <w:pPr>
        <w:rPr>
          <w:b/>
          <w:bCs/>
        </w:rPr>
      </w:pPr>
      <w:r w:rsidRPr="007B6B27">
        <w:rPr>
          <w:b/>
          <w:bCs/>
        </w:rPr>
        <w:t>THEME : Olivier Compagnon, historien : « Au Chili, une partie de la population a la nostalgie de Pinochet »</w:t>
      </w:r>
    </w:p>
    <w:p w14:paraId="56540503" w14:textId="77777777" w:rsidR="00865A9F" w:rsidRPr="00865A9F" w:rsidRDefault="00865A9F" w:rsidP="00865A9F">
      <w:pPr>
        <w:jc w:val="right"/>
      </w:pPr>
      <w:r w:rsidRPr="00865A9F">
        <w:lastRenderedPageBreak/>
        <w:t>Selon les propos recueillis par Angeline Montoya, Le Monde, 11.09.2023</w:t>
      </w:r>
    </w:p>
    <w:p w14:paraId="51D87C79" w14:textId="77777777" w:rsidR="00865A9F" w:rsidRDefault="00865A9F" w:rsidP="00865A9F">
      <w:r w:rsidRPr="00865A9F">
        <w:t>Lundi 11 septembre, le Chili commémore le coup d’Etat du général Augusto Pinochet, survenu il y a</w:t>
      </w:r>
      <w:r>
        <w:t xml:space="preserve"> </w:t>
      </w:r>
      <w:r w:rsidRPr="00865A9F">
        <w:t>cinquante ans, qui a entraîné la mort du président Salvador Allende.</w:t>
      </w:r>
    </w:p>
    <w:p w14:paraId="3375918F" w14:textId="5124BC2F" w:rsidR="00865A9F" w:rsidRPr="00865A9F" w:rsidRDefault="00865A9F" w:rsidP="00865A9F">
      <w:pPr>
        <w:jc w:val="both"/>
      </w:pPr>
      <w:r w:rsidRPr="00865A9F">
        <w:t>« Le récit selon lequel le coup d’Etat était inévitable car la gauche avait conduit le Chili dans le chaos</w:t>
      </w:r>
      <w:r>
        <w:t xml:space="preserve"> </w:t>
      </w:r>
      <w:r w:rsidRPr="00865A9F">
        <w:t>reste très prégnant dans une partie de la population chilienne ou chez certains intellectuels. En creux, il</w:t>
      </w:r>
      <w:r>
        <w:t xml:space="preserve"> </w:t>
      </w:r>
      <w:r w:rsidRPr="00865A9F">
        <w:t xml:space="preserve">vise la gauche chilienne des années 2019‐2023 et Gabriel </w:t>
      </w:r>
      <w:proofErr w:type="spellStart"/>
      <w:r w:rsidRPr="00865A9F">
        <w:t>Boric</w:t>
      </w:r>
      <w:proofErr w:type="spellEnd"/>
      <w:r w:rsidRPr="00865A9F">
        <w:t xml:space="preserve"> [président depuis mars 2022]. La manière</w:t>
      </w:r>
      <w:r>
        <w:t xml:space="preserve"> </w:t>
      </w:r>
      <w:r w:rsidRPr="00865A9F">
        <w:t xml:space="preserve">dont ce discours infuse les mentalités prépare le terrain à l’extrême droite de José Antonio </w:t>
      </w:r>
      <w:proofErr w:type="spellStart"/>
      <w:r w:rsidRPr="00865A9F">
        <w:t>Kast</w:t>
      </w:r>
      <w:proofErr w:type="spellEnd"/>
      <w:r w:rsidRPr="00865A9F">
        <w:t>, en vue</w:t>
      </w:r>
      <w:r>
        <w:t xml:space="preserve"> </w:t>
      </w:r>
      <w:r w:rsidRPr="00865A9F">
        <w:t>de la présidentielle de 2025.</w:t>
      </w:r>
    </w:p>
    <w:p w14:paraId="1D7BAA34" w14:textId="17BEC442" w:rsidR="00865A9F" w:rsidRPr="00865A9F" w:rsidRDefault="00865A9F" w:rsidP="00865A9F">
      <w:pPr>
        <w:jc w:val="both"/>
      </w:pPr>
      <w:r w:rsidRPr="00865A9F">
        <w:t xml:space="preserve">La nostalgie du </w:t>
      </w:r>
      <w:proofErr w:type="spellStart"/>
      <w:r w:rsidRPr="00865A9F">
        <w:t>pinochétisme</w:t>
      </w:r>
      <w:proofErr w:type="spellEnd"/>
      <w:r w:rsidRPr="00865A9F">
        <w:t xml:space="preserve"> perdure. Une part importante de la société regarde encore le coup d’Etat</w:t>
      </w:r>
      <w:r>
        <w:t xml:space="preserve"> </w:t>
      </w:r>
      <w:r w:rsidRPr="00865A9F">
        <w:t>comme une libération. Deux arguments sont avancés : il fallait empêcher le Chili de se jeter dans les bras</w:t>
      </w:r>
      <w:r>
        <w:t xml:space="preserve"> </w:t>
      </w:r>
      <w:r w:rsidRPr="00865A9F">
        <w:t>de la Russie ; et Pinochet a laissé en héritage la prospérité économique. Cette nostalgie s’explique en</w:t>
      </w:r>
      <w:r>
        <w:t xml:space="preserve"> </w:t>
      </w:r>
      <w:r w:rsidRPr="00865A9F">
        <w:t>partie parce que justice n’a pas été rendue – ou seulement partiellement – après les crimes de la dictature.</w:t>
      </w:r>
    </w:p>
    <w:p w14:paraId="45FAA68E" w14:textId="16B0762E" w:rsidR="00865A9F" w:rsidRPr="00865A9F" w:rsidRDefault="00865A9F" w:rsidP="00865A9F">
      <w:pPr>
        <w:jc w:val="both"/>
      </w:pPr>
      <w:r w:rsidRPr="00865A9F">
        <w:t xml:space="preserve">Les quelques procès symboliques, comme celui, en août, des assassins [du chanteur] Victor </w:t>
      </w:r>
      <w:proofErr w:type="spellStart"/>
      <w:r w:rsidRPr="00865A9F">
        <w:t>Jara</w:t>
      </w:r>
      <w:proofErr w:type="spellEnd"/>
      <w:r w:rsidRPr="00865A9F">
        <w:t>, ne</w:t>
      </w:r>
      <w:r>
        <w:t xml:space="preserve"> </w:t>
      </w:r>
      <w:r w:rsidRPr="00865A9F">
        <w:t xml:space="preserve">suffisent pas. Gabriel </w:t>
      </w:r>
      <w:proofErr w:type="spellStart"/>
      <w:r w:rsidRPr="00865A9F">
        <w:t>Boric</w:t>
      </w:r>
      <w:proofErr w:type="spellEnd"/>
      <w:r w:rsidRPr="00865A9F">
        <w:t xml:space="preserve"> a tenté de créer une mémoire consensuelle autour du 11 septembre 1973, en</w:t>
      </w:r>
      <w:r>
        <w:t xml:space="preserve"> </w:t>
      </w:r>
      <w:r w:rsidRPr="00865A9F">
        <w:t>suggérant à tous les partis politiques de condamner le coup d’Etat, en vain. Le Chili demeure très polarisé.</w:t>
      </w:r>
    </w:p>
    <w:p w14:paraId="077ABA14" w14:textId="7831AAE2" w:rsidR="00865A9F" w:rsidRPr="00865A9F" w:rsidRDefault="00865A9F" w:rsidP="00865A9F">
      <w:pPr>
        <w:jc w:val="both"/>
      </w:pPr>
      <w:r w:rsidRPr="00865A9F">
        <w:t>Tout au long du XXe siècle en Amérique latine, chaque expérience de démocratie progressiste décidée</w:t>
      </w:r>
      <w:r>
        <w:t xml:space="preserve"> </w:t>
      </w:r>
      <w:r w:rsidRPr="00865A9F">
        <w:t>à combattre les inégalités s’est heurtée à l’opposition des oligarchies. Si la démocratie n’a pas réussi à</w:t>
      </w:r>
      <w:r>
        <w:t xml:space="preserve"> </w:t>
      </w:r>
      <w:r w:rsidRPr="00865A9F">
        <w:t>offrir ce qui était attendu d’elle, c’est parce que des forces conservatrices, parfois alliées aux intérêts de</w:t>
      </w:r>
      <w:r>
        <w:t xml:space="preserve"> </w:t>
      </w:r>
      <w:r w:rsidRPr="00865A9F">
        <w:t>puissances étrangères, en premier lieu les Etats‐Unis, l’en ont empêchée.</w:t>
      </w:r>
    </w:p>
    <w:p w14:paraId="7F242E56" w14:textId="7A21809C" w:rsidR="00865A9F" w:rsidRDefault="00865A9F" w:rsidP="00D40A38">
      <w:pPr>
        <w:jc w:val="both"/>
      </w:pPr>
      <w:r w:rsidRPr="00865A9F">
        <w:t>Les transitions démocratiques qui ont suivi les périodes dictatoriales [ont] ainsi perpétué des politiques</w:t>
      </w:r>
      <w:r>
        <w:t xml:space="preserve"> </w:t>
      </w:r>
      <w:r w:rsidRPr="00865A9F">
        <w:t>néolibérales qui ont aggravé les inégalités. Aujourd’hui, le grand défi des démocraties latino‐américaines</w:t>
      </w:r>
      <w:r>
        <w:t xml:space="preserve"> </w:t>
      </w:r>
      <w:r w:rsidRPr="00865A9F">
        <w:t xml:space="preserve">consiste à réduire les inégalités. Pour cela, elles disposent de deux </w:t>
      </w:r>
      <w:r w:rsidR="00D40A38" w:rsidRPr="00865A9F">
        <w:t>leviers :</w:t>
      </w:r>
      <w:r w:rsidRPr="00865A9F">
        <w:t xml:space="preserve"> la réforme fiscale, essentielle,</w:t>
      </w:r>
      <w:r>
        <w:t xml:space="preserve"> </w:t>
      </w:r>
      <w:r w:rsidRPr="00865A9F">
        <w:t>et la redistribution des terres. »</w:t>
      </w:r>
    </w:p>
    <w:p w14:paraId="7BA9B79B" w14:textId="77777777" w:rsidR="00D40A38" w:rsidRDefault="00D40A38" w:rsidP="00D40A38">
      <w:pPr>
        <w:jc w:val="both"/>
      </w:pPr>
    </w:p>
    <w:p w14:paraId="45A8AFAE" w14:textId="0209D5A3" w:rsidR="00D40A38" w:rsidRDefault="00D40A38" w:rsidP="00D40A38">
      <w:pPr>
        <w:pStyle w:val="Paragraphedeliste"/>
        <w:numPr>
          <w:ilvl w:val="0"/>
          <w:numId w:val="7"/>
        </w:numPr>
        <w:jc w:val="both"/>
        <w:rPr>
          <w:b/>
          <w:bCs/>
          <w:i/>
          <w:iCs/>
          <w:lang w:val="es-ES"/>
        </w:rPr>
      </w:pPr>
      <w:r w:rsidRPr="00D40A38">
        <w:rPr>
          <w:b/>
          <w:bCs/>
          <w:lang w:val="es-ES"/>
        </w:rPr>
        <w:t>Elaboramos una Q1 y u</w:t>
      </w:r>
      <w:r>
        <w:rPr>
          <w:b/>
          <w:bCs/>
          <w:lang w:val="es-ES"/>
        </w:rPr>
        <w:t xml:space="preserve">na Q2 ELVI a partir de los documentos depositados en </w:t>
      </w:r>
      <w:proofErr w:type="spellStart"/>
      <w:r w:rsidRPr="00D40A38">
        <w:rPr>
          <w:b/>
          <w:bCs/>
          <w:i/>
          <w:iCs/>
          <w:lang w:val="es-ES"/>
        </w:rPr>
        <w:t>cahier</w:t>
      </w:r>
      <w:proofErr w:type="spellEnd"/>
      <w:r w:rsidRPr="00D40A38">
        <w:rPr>
          <w:b/>
          <w:bCs/>
          <w:i/>
          <w:iCs/>
          <w:lang w:val="es-ES"/>
        </w:rPr>
        <w:t xml:space="preserve"> de </w:t>
      </w:r>
      <w:proofErr w:type="spellStart"/>
      <w:r w:rsidRPr="00D40A38">
        <w:rPr>
          <w:b/>
          <w:bCs/>
          <w:i/>
          <w:iCs/>
          <w:lang w:val="es-ES"/>
        </w:rPr>
        <w:t>prépa</w:t>
      </w:r>
      <w:proofErr w:type="spellEnd"/>
      <w:r w:rsidRPr="00D40A38">
        <w:rPr>
          <w:b/>
          <w:bCs/>
          <w:i/>
          <w:iCs/>
          <w:lang w:val="es-ES"/>
        </w:rPr>
        <w:t xml:space="preserve"> </w:t>
      </w:r>
    </w:p>
    <w:p w14:paraId="2BEF4A2D" w14:textId="77777777" w:rsidR="00D40A38" w:rsidRPr="00D40A38" w:rsidRDefault="00D40A38" w:rsidP="00D40A38">
      <w:pPr>
        <w:pStyle w:val="Paragraphedeliste"/>
        <w:jc w:val="both"/>
        <w:rPr>
          <w:b/>
          <w:bCs/>
          <w:i/>
          <w:iCs/>
          <w:lang w:val="es-ES"/>
        </w:rPr>
      </w:pPr>
    </w:p>
    <w:p w14:paraId="3FB3C81E" w14:textId="110FD73B" w:rsidR="00D40A38" w:rsidRDefault="00D40A38" w:rsidP="00D40A38">
      <w:pPr>
        <w:pStyle w:val="Paragraphedeliste"/>
        <w:numPr>
          <w:ilvl w:val="0"/>
          <w:numId w:val="8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Lectura en casa: leemos los documentos, apuntamos y clasificamos las ideas esenciales, asociamos los documentos según ejes importantes</w:t>
      </w:r>
    </w:p>
    <w:p w14:paraId="02BB7AFA" w14:textId="4E4AF028" w:rsidR="00D40A38" w:rsidRPr="00D40A38" w:rsidRDefault="00D40A38" w:rsidP="00D40A38">
      <w:pPr>
        <w:pStyle w:val="Paragraphedeliste"/>
        <w:numPr>
          <w:ilvl w:val="0"/>
          <w:numId w:val="8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Elaboración en clase de una Q1 + una Q2</w:t>
      </w:r>
    </w:p>
    <w:sectPr w:rsidR="00D40A38" w:rsidRPr="00D40A38" w:rsidSect="00D40A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A34"/>
    <w:multiLevelType w:val="hybridMultilevel"/>
    <w:tmpl w:val="0E24C0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41A4"/>
    <w:multiLevelType w:val="hybridMultilevel"/>
    <w:tmpl w:val="65807C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670"/>
    <w:multiLevelType w:val="hybridMultilevel"/>
    <w:tmpl w:val="105E69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D0DAF"/>
    <w:multiLevelType w:val="hybridMultilevel"/>
    <w:tmpl w:val="157C8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91171"/>
    <w:multiLevelType w:val="hybridMultilevel"/>
    <w:tmpl w:val="12BE4D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38D1"/>
    <w:multiLevelType w:val="hybridMultilevel"/>
    <w:tmpl w:val="9B3E46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73358"/>
    <w:multiLevelType w:val="hybridMultilevel"/>
    <w:tmpl w:val="64A229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B394C"/>
    <w:multiLevelType w:val="hybridMultilevel"/>
    <w:tmpl w:val="A926A078"/>
    <w:lvl w:ilvl="0" w:tplc="07FEE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43ECB"/>
    <w:multiLevelType w:val="hybridMultilevel"/>
    <w:tmpl w:val="859AEC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0FB"/>
    <w:multiLevelType w:val="hybridMultilevel"/>
    <w:tmpl w:val="F5D48902"/>
    <w:lvl w:ilvl="0" w:tplc="7E54D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61135">
    <w:abstractNumId w:val="9"/>
  </w:num>
  <w:num w:numId="2" w16cid:durableId="1599564209">
    <w:abstractNumId w:val="4"/>
  </w:num>
  <w:num w:numId="3" w16cid:durableId="560869549">
    <w:abstractNumId w:val="3"/>
  </w:num>
  <w:num w:numId="4" w16cid:durableId="14354859">
    <w:abstractNumId w:val="7"/>
  </w:num>
  <w:num w:numId="5" w16cid:durableId="899367137">
    <w:abstractNumId w:val="1"/>
  </w:num>
  <w:num w:numId="6" w16cid:durableId="1320189043">
    <w:abstractNumId w:val="2"/>
  </w:num>
  <w:num w:numId="7" w16cid:durableId="627396694">
    <w:abstractNumId w:val="8"/>
  </w:num>
  <w:num w:numId="8" w16cid:durableId="1515223790">
    <w:abstractNumId w:val="5"/>
  </w:num>
  <w:num w:numId="9" w16cid:durableId="1216163557">
    <w:abstractNumId w:val="6"/>
  </w:num>
  <w:num w:numId="10" w16cid:durableId="132455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30"/>
    <w:rsid w:val="00050730"/>
    <w:rsid w:val="006332D6"/>
    <w:rsid w:val="007B6B27"/>
    <w:rsid w:val="00813AD8"/>
    <w:rsid w:val="00865A9F"/>
    <w:rsid w:val="00952FC6"/>
    <w:rsid w:val="00AC41DA"/>
    <w:rsid w:val="00AD6080"/>
    <w:rsid w:val="00BA5F79"/>
    <w:rsid w:val="00BF4F51"/>
    <w:rsid w:val="00D40A38"/>
    <w:rsid w:val="00F201E7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53E"/>
  <w15:chartTrackingRefBased/>
  <w15:docId w15:val="{298813F5-1D02-4B85-8634-8A26E85D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73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73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7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7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7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7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7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7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7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7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73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507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Ad5xUVucR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te.tv/es/videos/108458-003-A/el-reves-de-los-map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3</cp:revision>
  <cp:lastPrinted>2025-12-15T08:55:00Z</cp:lastPrinted>
  <dcterms:created xsi:type="dcterms:W3CDTF">2025-12-14T18:14:00Z</dcterms:created>
  <dcterms:modified xsi:type="dcterms:W3CDTF">2025-12-15T08:56:00Z</dcterms:modified>
</cp:coreProperties>
</file>