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6D9A" w14:textId="3CD686D7" w:rsidR="00FB6C9B" w:rsidRDefault="00FB6C9B" w:rsidP="00FB6C9B">
      <w:pPr>
        <w:jc w:val="center"/>
        <w:rPr>
          <w:b/>
          <w:bCs/>
          <w:lang w:val="es-ES"/>
        </w:rPr>
      </w:pPr>
      <w:r>
        <w:rPr>
          <w:b/>
          <w:bCs/>
          <w:noProof/>
          <w:lang w:val="es-ES"/>
        </w:rPr>
        <mc:AlternateContent>
          <mc:Choice Requires="wps">
            <w:drawing>
              <wp:anchor distT="0" distB="0" distL="114300" distR="114300" simplePos="0" relativeHeight="251659264" behindDoc="0" locked="0" layoutInCell="1" allowOverlap="1" wp14:anchorId="0CFFB695" wp14:editId="7F450E9F">
                <wp:simplePos x="0" y="0"/>
                <wp:positionH relativeFrom="column">
                  <wp:posOffset>5314950</wp:posOffset>
                </wp:positionH>
                <wp:positionV relativeFrom="paragraph">
                  <wp:posOffset>-334645</wp:posOffset>
                </wp:positionV>
                <wp:extent cx="1333500" cy="640080"/>
                <wp:effectExtent l="0" t="0" r="19050" b="26670"/>
                <wp:wrapNone/>
                <wp:docPr id="1894742132" name="Rectangle 1"/>
                <wp:cNvGraphicFramePr/>
                <a:graphic xmlns:a="http://schemas.openxmlformats.org/drawingml/2006/main">
                  <a:graphicData uri="http://schemas.microsoft.com/office/word/2010/wordprocessingShape">
                    <wps:wsp>
                      <wps:cNvSpPr/>
                      <wps:spPr>
                        <a:xfrm>
                          <a:off x="0" y="0"/>
                          <a:ext cx="1333500" cy="640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DFDD99" w14:textId="724ACDCB" w:rsidR="00FB6C9B" w:rsidRDefault="00FB6C9B" w:rsidP="00FB6C9B">
                            <w:pPr>
                              <w:jc w:val="center"/>
                            </w:pPr>
                            <w:r>
                              <w:t>ECG2</w:t>
                            </w:r>
                          </w:p>
                          <w:p w14:paraId="52550DD3" w14:textId="06CBA330" w:rsidR="00FB6C9B" w:rsidRDefault="00FB6C9B" w:rsidP="00FB6C9B">
                            <w:pPr>
                              <w:jc w:val="center"/>
                            </w:pPr>
                            <w:r>
                              <w:t>K6 texto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FB695" id="Rectangle 1" o:spid="_x0000_s1026" style="position:absolute;left:0;text-align:left;margin-left:418.5pt;margin-top:-26.35pt;width:105pt;height:5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" fillcolor="white [3201]" strokecolor="black [3213]" strokeweight="1pt">
                <v:textbox>
                  <w:txbxContent>
                    <w:p w14:paraId="38DFDD99" w14:textId="724ACDCB" w:rsidR="00FB6C9B" w:rsidRDefault="00FB6C9B" w:rsidP="00FB6C9B">
                      <w:pPr>
                        <w:jc w:val="center"/>
                      </w:pPr>
                      <w:r>
                        <w:t>ECG2</w:t>
                      </w:r>
                    </w:p>
                    <w:p w14:paraId="52550DD3" w14:textId="06CBA330" w:rsidR="00FB6C9B" w:rsidRDefault="00FB6C9B" w:rsidP="00FB6C9B">
                      <w:pPr>
                        <w:jc w:val="center"/>
                      </w:pPr>
                      <w:r>
                        <w:t>K6 texto A</w:t>
                      </w:r>
                    </w:p>
                  </w:txbxContent>
                </v:textbox>
              </v:rect>
            </w:pict>
          </mc:Fallback>
        </mc:AlternateContent>
      </w:r>
    </w:p>
    <w:p w14:paraId="0F4BBEB0" w14:textId="57430B90" w:rsidR="00FB6C9B" w:rsidRPr="00DE4A0E" w:rsidRDefault="00FB6C9B" w:rsidP="00FB6C9B">
      <w:pPr>
        <w:jc w:val="center"/>
        <w:rPr>
          <w:b/>
          <w:bCs/>
          <w:lang w:val="es-ES"/>
        </w:rPr>
      </w:pPr>
      <w:r w:rsidRPr="00DE4A0E">
        <w:rPr>
          <w:b/>
          <w:bCs/>
          <w:lang w:val="es-ES"/>
        </w:rPr>
        <w:t>Chile tiene un plan para impulsar la extracción de litio, ¿podrá hacerlo de forma sostenible?</w:t>
      </w:r>
    </w:p>
    <w:p w14:paraId="67DF13A4" w14:textId="77777777" w:rsidR="00FB6C9B" w:rsidRPr="00DE4A0E" w:rsidRDefault="00FB6C9B" w:rsidP="00FB6C9B">
      <w:pPr>
        <w:jc w:val="both"/>
        <w:rPr>
          <w:lang w:val="es-ES"/>
        </w:rPr>
      </w:pPr>
      <w:r w:rsidRPr="00DE4A0E">
        <w:rPr>
          <w:lang w:val="es-ES"/>
        </w:rPr>
        <w:t xml:space="preserve">En 2023 el presidente de Chile, Gabriel </w:t>
      </w:r>
      <w:proofErr w:type="spellStart"/>
      <w:r w:rsidRPr="00DE4A0E">
        <w:rPr>
          <w:lang w:val="es-ES"/>
        </w:rPr>
        <w:t>Boric</w:t>
      </w:r>
      <w:proofErr w:type="spellEnd"/>
      <w:r w:rsidRPr="00DE4A0E">
        <w:rPr>
          <w:lang w:val="es-ES"/>
        </w:rPr>
        <w:t>, presentó la Estrategia Nacional del Litio que fija que el Estado asume un papel de liderazgo en la explotación, con el objetivo de desarrollar una industria sostenible y aumentar las riquezas para el país.</w:t>
      </w:r>
    </w:p>
    <w:p w14:paraId="74017323" w14:textId="77777777" w:rsidR="00FB6C9B" w:rsidRPr="00DE4A0E" w:rsidRDefault="00FB6C9B" w:rsidP="00FB6C9B">
      <w:pPr>
        <w:jc w:val="both"/>
        <w:rPr>
          <w:lang w:val="es-ES"/>
        </w:rPr>
      </w:pPr>
      <w:r w:rsidRPr="00DE4A0E">
        <w:rPr>
          <w:lang w:val="es-ES"/>
        </w:rPr>
        <w:t xml:space="preserve"> […] El gobierno y las empresas avanzan en la estrategia de promover el desarrollo sostenible de los salares del país para reducir el impacto ambiental. Para esto, en 2024, se anunció una red de salares protegidos y en enero de 2025, se inauguró el Instituto Nacional de Litio y Salares (</w:t>
      </w:r>
      <w:proofErr w:type="spellStart"/>
      <w:r w:rsidRPr="00DE4A0E">
        <w:rPr>
          <w:lang w:val="es-ES"/>
        </w:rPr>
        <w:t>ILiSa</w:t>
      </w:r>
      <w:proofErr w:type="spellEnd"/>
      <w:r w:rsidRPr="00DE4A0E">
        <w:rPr>
          <w:lang w:val="es-ES"/>
        </w:rPr>
        <w:t>).</w:t>
      </w:r>
    </w:p>
    <w:p w14:paraId="76AAE984" w14:textId="77777777" w:rsidR="00FB6C9B" w:rsidRPr="00DE4A0E" w:rsidRDefault="00FB6C9B" w:rsidP="00FB6C9B">
      <w:pPr>
        <w:jc w:val="both"/>
        <w:rPr>
          <w:lang w:val="es-ES"/>
        </w:rPr>
      </w:pPr>
      <w:r w:rsidRPr="00DE4A0E">
        <w:rPr>
          <w:lang w:val="es-ES"/>
        </w:rPr>
        <w:t>En forma paralela, muchas de las empresas interesadas en la explotación del litio —</w:t>
      </w:r>
      <w:proofErr w:type="spellStart"/>
      <w:r w:rsidRPr="00DE4A0E">
        <w:rPr>
          <w:lang w:val="es-ES"/>
        </w:rPr>
        <w:t>Eramet</w:t>
      </w:r>
      <w:proofErr w:type="spellEnd"/>
      <w:r w:rsidRPr="00DE4A0E">
        <w:rPr>
          <w:lang w:val="es-ES"/>
        </w:rPr>
        <w:t>, </w:t>
      </w:r>
      <w:proofErr w:type="spellStart"/>
      <w:r w:rsidRPr="00DE4A0E">
        <w:rPr>
          <w:lang w:val="es-ES"/>
        </w:rPr>
        <w:t>Enami</w:t>
      </w:r>
      <w:proofErr w:type="spellEnd"/>
      <w:r w:rsidRPr="00DE4A0E">
        <w:rPr>
          <w:lang w:val="es-ES"/>
        </w:rPr>
        <w:t>, Sociedad Química y Minera (SQM), Albemarle y Grupo Errázuriz— han manifestado su intención de utilizar tecnologías de extracción directa de litio (EDL). Este método pretende reducir el impacto medioambiental de la extracción de litio, sustituyendo el método tradicional de extracción por evaporación solar y minimizando así el consumo de agua.</w:t>
      </w:r>
    </w:p>
    <w:p w14:paraId="15CD6B0F" w14:textId="77777777" w:rsidR="00FB6C9B" w:rsidRPr="00DE4A0E" w:rsidRDefault="00FB6C9B" w:rsidP="00FB6C9B">
      <w:pPr>
        <w:jc w:val="both"/>
        <w:rPr>
          <w:lang w:val="es-ES"/>
        </w:rPr>
      </w:pPr>
      <w:r w:rsidRPr="00DE4A0E">
        <w:rPr>
          <w:lang w:val="es-ES"/>
        </w:rPr>
        <w:t>[…] Ingrid Garcés, académica e investigadora de la Universidad de Antofagasta, expresa su preocupación sobre las tecnologías de EDL, señalando que esta promete ser más eficiente y menos dañina para el medioambiente, pero que aún hay que ser cautelosos. “La implementación de estas tecnologías debe ser acompañada de una rigurosa evaluación de sus impactos socioambientales para evitar repetir los errores del pasado”, dice la científica.</w:t>
      </w:r>
    </w:p>
    <w:p w14:paraId="0490ECE7" w14:textId="77777777" w:rsidR="00FB6C9B" w:rsidRPr="00DE4A0E" w:rsidRDefault="00FB6C9B" w:rsidP="00FB6C9B">
      <w:pPr>
        <w:jc w:val="both"/>
        <w:rPr>
          <w:lang w:val="es-ES"/>
        </w:rPr>
      </w:pPr>
      <w:r w:rsidRPr="00DE4A0E">
        <w:rPr>
          <w:lang w:val="es-ES"/>
        </w:rPr>
        <w:t>Dado que la Estrategia Nacional del Litio prevé una mayor explotación de los salares de Chile, se están llevando a cabo varias consultas indígenas en el norte del país, donde muchas zonas destinadas a la extracción se encuentran muy cerca de las tierras ancestrales de las comunidades y, en algunos casos, se solapan con ellas.</w:t>
      </w:r>
    </w:p>
    <w:p w14:paraId="46DD1436" w14:textId="77777777" w:rsidR="00FB6C9B" w:rsidRPr="00DE4A0E" w:rsidRDefault="00FB6C9B" w:rsidP="00FB6C9B">
      <w:pPr>
        <w:jc w:val="both"/>
        <w:rPr>
          <w:lang w:val="es-ES"/>
        </w:rPr>
      </w:pPr>
      <w:r w:rsidRPr="00DE4A0E">
        <w:rPr>
          <w:lang w:val="es-ES"/>
        </w:rPr>
        <w:t xml:space="preserve">[…] Leydi </w:t>
      </w:r>
      <w:proofErr w:type="spellStart"/>
      <w:r w:rsidRPr="00DE4A0E">
        <w:rPr>
          <w:lang w:val="es-ES"/>
        </w:rPr>
        <w:t>Sandon</w:t>
      </w:r>
      <w:proofErr w:type="spellEnd"/>
      <w:r w:rsidRPr="00DE4A0E">
        <w:rPr>
          <w:lang w:val="es-ES"/>
        </w:rPr>
        <w:t xml:space="preserve">, integrante de la comunidad de </w:t>
      </w:r>
      <w:proofErr w:type="spellStart"/>
      <w:r w:rsidRPr="00DE4A0E">
        <w:rPr>
          <w:lang w:val="es-ES"/>
        </w:rPr>
        <w:t>Coyo</w:t>
      </w:r>
      <w:proofErr w:type="spellEnd"/>
      <w:r w:rsidRPr="00DE4A0E">
        <w:rPr>
          <w:lang w:val="es-ES"/>
        </w:rPr>
        <w:t xml:space="preserve"> –una comunidad indígena que vive cerca de la cuenca del salar de Atacama–, expresa que ha sido extremadamente desgastante participar en múltiples consultas indígenas en simultáneo y subraya que esta situación claramente representa “una vulneración de los derechos”. Además, enfatiza la necesidad urgente de contar con un “arbitraje o un observador independiente” para garantizar la transparencia y justicia en el proceso.</w:t>
      </w:r>
    </w:p>
    <w:p w14:paraId="2A5D4199" w14:textId="77777777" w:rsidR="00FB6C9B" w:rsidRPr="00DE4A0E" w:rsidRDefault="00FB6C9B" w:rsidP="00FB6C9B">
      <w:pPr>
        <w:jc w:val="both"/>
        <w:rPr>
          <w:lang w:val="es-ES"/>
        </w:rPr>
      </w:pPr>
      <w:r w:rsidRPr="00DE4A0E">
        <w:rPr>
          <w:lang w:val="es-ES"/>
        </w:rPr>
        <w:t xml:space="preserve">Ercilia Araya, presidenta de la comunidad indígena Colla Pai </w:t>
      </w:r>
      <w:proofErr w:type="spellStart"/>
      <w:r w:rsidRPr="00DE4A0E">
        <w:rPr>
          <w:lang w:val="es-ES"/>
        </w:rPr>
        <w:t>Ote</w:t>
      </w:r>
      <w:proofErr w:type="spellEnd"/>
      <w:r w:rsidRPr="00DE4A0E">
        <w:rPr>
          <w:lang w:val="es-ES"/>
        </w:rPr>
        <w:t>, cuyas tierras están cerca del salar de Maricunga, crítica el proceso de consulta indígena de Codelco. La comunera señala “la falta de transparencia y el incumplimiento de compromisos”, además, argumenta que no pueden apoyar el CEOL mientras persista la intención de desafectar zonas que contienen agua, como la Laguna Santa Rosa. “Esas áreas son vitales para nuestra existencia”, dice.</w:t>
      </w:r>
    </w:p>
    <w:p w14:paraId="56AA4639" w14:textId="77777777" w:rsidR="00FB6C9B" w:rsidRPr="00DE4A0E" w:rsidRDefault="00FB6C9B" w:rsidP="00FB6C9B">
      <w:pPr>
        <w:jc w:val="both"/>
        <w:rPr>
          <w:lang w:val="es-ES"/>
        </w:rPr>
      </w:pPr>
      <w:r w:rsidRPr="00DE4A0E">
        <w:rPr>
          <w:lang w:val="es-ES"/>
        </w:rPr>
        <w:t>[…] Aleé critica la Estrategia Nacional del Litio y expresa que inicialmente se enfocaba en minimizar el impacto ambiental, pero rápidamente se transformó en una ambición por el dinero. Como resultado, muchos impactos ambientales son obviados o negados. Aleé está convencido de que la explotación del litio en Chile “continuará sin cambios significativos”.</w:t>
      </w:r>
    </w:p>
    <w:p w14:paraId="5D54E906" w14:textId="633A8667" w:rsidR="00FB6C9B" w:rsidRPr="00DE4A0E" w:rsidRDefault="00FB6C9B" w:rsidP="00FB6C9B">
      <w:pPr>
        <w:jc w:val="both"/>
        <w:rPr>
          <w:lang w:val="es-ES"/>
        </w:rPr>
        <w:sectPr w:rsidR="00FB6C9B" w:rsidRPr="00DE4A0E" w:rsidSect="00FB6C9B">
          <w:pgSz w:w="11906" w:h="16838"/>
          <w:pgMar w:top="851" w:right="1134" w:bottom="851" w:left="1134" w:header="709" w:footer="709" w:gutter="0"/>
          <w:cols w:space="720"/>
        </w:sectPr>
      </w:pPr>
      <w:r w:rsidRPr="00DE4A0E">
        <w:rPr>
          <w:lang w:val="es-ES"/>
        </w:rPr>
        <w:t xml:space="preserve">Publicado en </w:t>
      </w:r>
      <w:hyperlink r:id="rId4" w:history="1">
        <w:r w:rsidRPr="00DE4A0E">
          <w:rPr>
            <w:rStyle w:val="Lienhypertexte"/>
            <w:lang w:val="es-ES"/>
          </w:rPr>
          <w:t>www.terram.cl</w:t>
        </w:r>
      </w:hyperlink>
      <w:r w:rsidRPr="00DE4A0E">
        <w:rPr>
          <w:lang w:val="es-ES"/>
        </w:rPr>
        <w:t xml:space="preserve"> el 26/03/202</w:t>
      </w:r>
      <w:r>
        <w:rPr>
          <w:lang w:val="es-ES"/>
        </w:rPr>
        <w:t>5</w:t>
      </w:r>
    </w:p>
    <w:p w14:paraId="064AE63F" w14:textId="77777777" w:rsidR="00F201E7" w:rsidRPr="00FB6C9B" w:rsidRDefault="00F201E7">
      <w:pPr>
        <w:rPr>
          <w:lang w:val="es-ES"/>
        </w:rPr>
      </w:pPr>
    </w:p>
    <w:sectPr w:rsidR="00F201E7" w:rsidRPr="00FB6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9B"/>
    <w:rsid w:val="00952FC6"/>
    <w:rsid w:val="00BF4F51"/>
    <w:rsid w:val="00F201E7"/>
    <w:rsid w:val="00FB6C9B"/>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AB15"/>
  <w15:chartTrackingRefBased/>
  <w15:docId w15:val="{085F9455-37B4-438C-A463-65DD454B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9B"/>
  </w:style>
  <w:style w:type="paragraph" w:styleId="Titre1">
    <w:name w:val="heading 1"/>
    <w:basedOn w:val="Normal"/>
    <w:next w:val="Normal"/>
    <w:link w:val="Titre1Car"/>
    <w:uiPriority w:val="9"/>
    <w:qFormat/>
    <w:rsid w:val="00FB6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B6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B6C9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B6C9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B6C9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B6C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6C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6C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6C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6C9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B6C9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B6C9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B6C9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B6C9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B6C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6C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6C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6C9B"/>
    <w:rPr>
      <w:rFonts w:eastAsiaTheme="majorEastAsia" w:cstheme="majorBidi"/>
      <w:color w:val="272727" w:themeColor="text1" w:themeTint="D8"/>
    </w:rPr>
  </w:style>
  <w:style w:type="paragraph" w:styleId="Titre">
    <w:name w:val="Title"/>
    <w:basedOn w:val="Normal"/>
    <w:next w:val="Normal"/>
    <w:link w:val="TitreCar"/>
    <w:uiPriority w:val="10"/>
    <w:qFormat/>
    <w:rsid w:val="00FB6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6C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6C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6C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6C9B"/>
    <w:pPr>
      <w:spacing w:before="160"/>
      <w:jc w:val="center"/>
    </w:pPr>
    <w:rPr>
      <w:i/>
      <w:iCs/>
      <w:color w:val="404040" w:themeColor="text1" w:themeTint="BF"/>
    </w:rPr>
  </w:style>
  <w:style w:type="character" w:customStyle="1" w:styleId="CitationCar">
    <w:name w:val="Citation Car"/>
    <w:basedOn w:val="Policepardfaut"/>
    <w:link w:val="Citation"/>
    <w:uiPriority w:val="29"/>
    <w:rsid w:val="00FB6C9B"/>
    <w:rPr>
      <w:i/>
      <w:iCs/>
      <w:color w:val="404040" w:themeColor="text1" w:themeTint="BF"/>
    </w:rPr>
  </w:style>
  <w:style w:type="paragraph" w:styleId="Paragraphedeliste">
    <w:name w:val="List Paragraph"/>
    <w:basedOn w:val="Normal"/>
    <w:uiPriority w:val="34"/>
    <w:qFormat/>
    <w:rsid w:val="00FB6C9B"/>
    <w:pPr>
      <w:ind w:left="720"/>
      <w:contextualSpacing/>
    </w:pPr>
  </w:style>
  <w:style w:type="character" w:styleId="Accentuationintense">
    <w:name w:val="Intense Emphasis"/>
    <w:basedOn w:val="Policepardfaut"/>
    <w:uiPriority w:val="21"/>
    <w:qFormat/>
    <w:rsid w:val="00FB6C9B"/>
    <w:rPr>
      <w:i/>
      <w:iCs/>
      <w:color w:val="2F5496" w:themeColor="accent1" w:themeShade="BF"/>
    </w:rPr>
  </w:style>
  <w:style w:type="paragraph" w:styleId="Citationintense">
    <w:name w:val="Intense Quote"/>
    <w:basedOn w:val="Normal"/>
    <w:next w:val="Normal"/>
    <w:link w:val="CitationintenseCar"/>
    <w:uiPriority w:val="30"/>
    <w:qFormat/>
    <w:rsid w:val="00FB6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B6C9B"/>
    <w:rPr>
      <w:i/>
      <w:iCs/>
      <w:color w:val="2F5496" w:themeColor="accent1" w:themeShade="BF"/>
    </w:rPr>
  </w:style>
  <w:style w:type="character" w:styleId="Rfrenceintense">
    <w:name w:val="Intense Reference"/>
    <w:basedOn w:val="Policepardfaut"/>
    <w:uiPriority w:val="32"/>
    <w:qFormat/>
    <w:rsid w:val="00FB6C9B"/>
    <w:rPr>
      <w:b/>
      <w:bCs/>
      <w:smallCaps/>
      <w:color w:val="2F5496" w:themeColor="accent1" w:themeShade="BF"/>
      <w:spacing w:val="5"/>
    </w:rPr>
  </w:style>
  <w:style w:type="character" w:styleId="Lienhypertexte">
    <w:name w:val="Hyperlink"/>
    <w:basedOn w:val="Policepardfaut"/>
    <w:uiPriority w:val="99"/>
    <w:unhideWhenUsed/>
    <w:rsid w:val="00FB6C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rram.c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2721</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2025-12-13T12:33:00Z</dcterms:created>
  <dcterms:modified xsi:type="dcterms:W3CDTF">2025-12-13T12:35:00Z</dcterms:modified>
</cp:coreProperties>
</file>