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61F4E" w14:textId="05221687" w:rsidR="00B576FD" w:rsidRPr="00B576FD" w:rsidRDefault="00B576FD" w:rsidP="00B576FD">
      <w:pPr>
        <w:jc w:val="center"/>
        <w:rPr>
          <w:lang w:val="es-ES"/>
        </w:rPr>
      </w:pPr>
      <w:proofErr w:type="spellStart"/>
      <w:r>
        <w:rPr>
          <w:b/>
          <w:bCs/>
          <w:lang w:val="es-ES"/>
        </w:rPr>
        <w:t>Kholle</w:t>
      </w:r>
      <w:proofErr w:type="spellEnd"/>
      <w:r>
        <w:rPr>
          <w:b/>
          <w:bCs/>
          <w:lang w:val="es-ES"/>
        </w:rPr>
        <w:t xml:space="preserve"> 6. Texto B: </w:t>
      </w:r>
      <w:r w:rsidRPr="00B576FD">
        <w:rPr>
          <w:b/>
          <w:bCs/>
          <w:lang w:val="es-ES"/>
        </w:rPr>
        <w:t>Nuevos proyectos de litio en el marco de la Estrategia Nacional: decisiones opacas y a espaldas de la ciudadanía</w:t>
      </w:r>
      <w:r>
        <w:rPr>
          <w:b/>
          <w:bCs/>
          <w:lang w:val="es-ES"/>
        </w:rPr>
        <w:t xml:space="preserve"> </w:t>
      </w:r>
      <w:r>
        <w:rPr>
          <w:lang w:val="es-ES"/>
        </w:rPr>
        <w:t xml:space="preserve">(Pablo Madrid, </w:t>
      </w:r>
      <w:r>
        <w:rPr>
          <w:i/>
          <w:iCs/>
          <w:lang w:val="es-ES"/>
        </w:rPr>
        <w:t xml:space="preserve">El </w:t>
      </w:r>
      <w:proofErr w:type="spellStart"/>
      <w:r>
        <w:rPr>
          <w:i/>
          <w:iCs/>
          <w:lang w:val="es-ES"/>
        </w:rPr>
        <w:t>Pais</w:t>
      </w:r>
      <w:proofErr w:type="spellEnd"/>
      <w:r>
        <w:rPr>
          <w:lang w:val="es-ES"/>
        </w:rPr>
        <w:t>, 15/05/2025)</w:t>
      </w:r>
    </w:p>
    <w:p w14:paraId="1D409171" w14:textId="77777777" w:rsidR="00B576FD" w:rsidRPr="00B576FD" w:rsidRDefault="00B576FD" w:rsidP="00B576FD">
      <w:pPr>
        <w:jc w:val="both"/>
        <w:rPr>
          <w:sz w:val="23"/>
          <w:szCs w:val="23"/>
          <w:lang w:val="es-ES"/>
        </w:rPr>
      </w:pPr>
      <w:r w:rsidRPr="00B576FD">
        <w:rPr>
          <w:sz w:val="23"/>
          <w:szCs w:val="23"/>
          <w:lang w:val="es-ES"/>
        </w:rPr>
        <w:t xml:space="preserve">En abril de 2023, el presidente Gabriel </w:t>
      </w:r>
      <w:proofErr w:type="spellStart"/>
      <w:r w:rsidRPr="00B576FD">
        <w:rPr>
          <w:sz w:val="23"/>
          <w:szCs w:val="23"/>
          <w:lang w:val="es-ES"/>
        </w:rPr>
        <w:t>Boric</w:t>
      </w:r>
      <w:proofErr w:type="spellEnd"/>
      <w:r w:rsidRPr="00B576FD">
        <w:rPr>
          <w:sz w:val="23"/>
          <w:szCs w:val="23"/>
          <w:lang w:val="es-ES"/>
        </w:rPr>
        <w:t xml:space="preserve"> anunció la Estrategia Nacional del Litio (ENL) bajo el lema “el litio es de todas y todos los chilenos”, una consigna constitucionalmente cierta que expresa el propósito de esta política por fortalecer el rol del Estado en la gobernanza de un recurso considerado estratégico. En ese marco, resulta razonable que la ciudadanía haya esperado una implementación coherente con dicho principio, expresada en una de las promesas de campaña del actual gobierno: la creación de una Empresa Nacional del Litio. Sin embargo, esta iniciativa fue reemplazada tácitamente por un modelo basado en alianzas público-privadas, mediante el cual se han impulsado acuerdos de asociación cuya tramitación ha estado marcada por una limitada transparencia y escasa participación tanto de la ciudadanía como de las comunidades involucradas.</w:t>
      </w:r>
    </w:p>
    <w:p w14:paraId="511863AE" w14:textId="1B1E4365" w:rsidR="00B576FD" w:rsidRPr="00B576FD" w:rsidRDefault="00B576FD" w:rsidP="00B576FD">
      <w:pPr>
        <w:jc w:val="both"/>
        <w:rPr>
          <w:sz w:val="23"/>
          <w:szCs w:val="23"/>
          <w:lang w:val="es-ES"/>
        </w:rPr>
      </w:pPr>
      <w:r w:rsidRPr="00B576FD">
        <w:rPr>
          <w:sz w:val="23"/>
          <w:szCs w:val="23"/>
          <w:lang w:val="es-ES"/>
        </w:rPr>
        <w:t xml:space="preserve">Para contextualizar, cabe recordar que la ENL identifica dos salares estratégicos —Atacama y Maricunga— debido a sus altas concentraciones de litio, donde se prevé una participación mayoritaria del Estado en su explotación. Asimismo, define otros cinco salares en los que el Estado puede desarrollar proyectos a través de alianzas público-privadas, según las condiciones que establezcan las empresas públicas mandatadas </w:t>
      </w:r>
      <w:r w:rsidRPr="00B576FD">
        <w:rPr>
          <w:color w:val="000000" w:themeColor="text1"/>
          <w:sz w:val="23"/>
          <w:szCs w:val="23"/>
          <w:lang w:val="es-ES"/>
        </w:rPr>
        <w:t>para ello: </w:t>
      </w:r>
      <w:hyperlink r:id="rId4" w:tgtFrame="_self" w:tooltip="https://elpais.com/chile/2024-05-31/codelco-y-sqm-sellan-el-pacto-para-impulsar-el-litio-chileno.html" w:history="1">
        <w:r w:rsidRPr="00B576FD">
          <w:rPr>
            <w:rStyle w:val="Lienhypertexte"/>
            <w:color w:val="000000" w:themeColor="text1"/>
            <w:sz w:val="23"/>
            <w:szCs w:val="23"/>
            <w:u w:val="none"/>
            <w:lang w:val="es-ES"/>
          </w:rPr>
          <w:t>Codelco</w:t>
        </w:r>
      </w:hyperlink>
      <w:r w:rsidRPr="00B576FD">
        <w:rPr>
          <w:color w:val="000000" w:themeColor="text1"/>
          <w:sz w:val="23"/>
          <w:szCs w:val="23"/>
          <w:lang w:val="es-ES"/>
        </w:rPr>
        <w:t xml:space="preserve"> y </w:t>
      </w:r>
      <w:proofErr w:type="spellStart"/>
      <w:r w:rsidRPr="00B576FD">
        <w:rPr>
          <w:color w:val="000000" w:themeColor="text1"/>
          <w:sz w:val="23"/>
          <w:szCs w:val="23"/>
          <w:lang w:val="es-ES"/>
        </w:rPr>
        <w:t>Enami</w:t>
      </w:r>
      <w:proofErr w:type="spellEnd"/>
      <w:r w:rsidRPr="00B576FD">
        <w:rPr>
          <w:color w:val="000000" w:themeColor="text1"/>
          <w:sz w:val="23"/>
          <w:szCs w:val="23"/>
          <w:lang w:val="es-ES"/>
        </w:rPr>
        <w:t>, respectivamente</w:t>
      </w:r>
      <w:r w:rsidRPr="00B576FD">
        <w:rPr>
          <w:sz w:val="23"/>
          <w:szCs w:val="23"/>
          <w:lang w:val="es-ES"/>
        </w:rPr>
        <w:t>.</w:t>
      </w:r>
    </w:p>
    <w:p w14:paraId="2FB4FCED" w14:textId="77777777" w:rsidR="00B576FD" w:rsidRPr="00B576FD" w:rsidRDefault="00B576FD" w:rsidP="00B576FD">
      <w:pPr>
        <w:jc w:val="both"/>
        <w:rPr>
          <w:sz w:val="23"/>
          <w:szCs w:val="23"/>
          <w:lang w:val="es-ES"/>
        </w:rPr>
      </w:pPr>
      <w:r w:rsidRPr="00B576FD">
        <w:rPr>
          <w:sz w:val="23"/>
          <w:szCs w:val="23"/>
          <w:lang w:val="es-ES"/>
        </w:rPr>
        <w:t xml:space="preserve">Desde Fundación </w:t>
      </w:r>
      <w:proofErr w:type="spellStart"/>
      <w:r w:rsidRPr="00B576FD">
        <w:rPr>
          <w:sz w:val="23"/>
          <w:szCs w:val="23"/>
          <w:lang w:val="es-ES"/>
        </w:rPr>
        <w:t>Terram</w:t>
      </w:r>
      <w:proofErr w:type="spellEnd"/>
      <w:r w:rsidRPr="00B576FD">
        <w:rPr>
          <w:sz w:val="23"/>
          <w:szCs w:val="23"/>
          <w:lang w:val="es-ES"/>
        </w:rPr>
        <w:t>, recientemente publicamos un estudio […], en el que se identifican vacíos e impactos que surgen a partir de la implementación de dicha clasificación. El análisis evidencia desafíos relevantes en materia de concesiones mineras, conservación ambiental y el rol de las comunidades indígenas.</w:t>
      </w:r>
    </w:p>
    <w:p w14:paraId="4D57ED75" w14:textId="77777777" w:rsidR="00B576FD" w:rsidRPr="00B576FD" w:rsidRDefault="00B576FD" w:rsidP="00B576FD">
      <w:pPr>
        <w:jc w:val="both"/>
        <w:rPr>
          <w:sz w:val="23"/>
          <w:szCs w:val="23"/>
          <w:lang w:val="es-ES"/>
        </w:rPr>
      </w:pPr>
      <w:r w:rsidRPr="00B576FD">
        <w:rPr>
          <w:sz w:val="23"/>
          <w:szCs w:val="23"/>
          <w:lang w:val="es-ES"/>
        </w:rPr>
        <w:t xml:space="preserve">La escasa participación y opacidad en los procesos de asociación público-privada fueron una de las principales brechas que identificó el estudio de </w:t>
      </w:r>
      <w:proofErr w:type="spellStart"/>
      <w:r w:rsidRPr="00B576FD">
        <w:rPr>
          <w:sz w:val="23"/>
          <w:szCs w:val="23"/>
          <w:lang w:val="es-ES"/>
        </w:rPr>
        <w:t>Terram</w:t>
      </w:r>
      <w:proofErr w:type="spellEnd"/>
      <w:r w:rsidRPr="00B576FD">
        <w:rPr>
          <w:sz w:val="23"/>
          <w:szCs w:val="23"/>
          <w:lang w:val="es-ES"/>
        </w:rPr>
        <w:t>. Así, uno de sus hallazgos relevantes hace referencia a los aspectos procedimentales bajo los cuales se concretó el acuerdo entre SQM y Codelco para la explotación de litio en el Salar de Atacama hasta el año 2060. En particular, resulta llamativo que dicho acuerdo se haya firmado con una empresa que […] ha incurrido en graves incumplimientos ambientales y tributarios asociados a su operación en el Salar. A ello se suman conflictos sostenidos con comunidades locales, que han derivado en demandas y otros litigios producto de sus impactos socioambientales. […]</w:t>
      </w:r>
    </w:p>
    <w:p w14:paraId="413D87C8" w14:textId="77777777" w:rsidR="00B576FD" w:rsidRPr="00B576FD" w:rsidRDefault="00B576FD" w:rsidP="00B576FD">
      <w:pPr>
        <w:jc w:val="both"/>
        <w:rPr>
          <w:sz w:val="23"/>
          <w:szCs w:val="23"/>
          <w:lang w:val="es-ES"/>
        </w:rPr>
      </w:pPr>
      <w:r w:rsidRPr="00B576FD">
        <w:rPr>
          <w:sz w:val="23"/>
          <w:szCs w:val="23"/>
          <w:lang w:val="es-ES"/>
        </w:rPr>
        <w:t>El argumento esgrimido por el Gobierno —según el cual este era el único camino posible para asegurar una participación mayoritaria del Estado a través de Codelco— plantea serias dudas y desconfianzas. ¿Era realmente la mejor y única opción asociarse con una empresa que arrastra antecedentes por corrupción y que ha estado en reiteradas ocasiones en conflicto con organismos estatales por temas fiscales, ambientales y otros incumplimientos?</w:t>
      </w:r>
    </w:p>
    <w:p w14:paraId="708EDB2B" w14:textId="4B7D25C1" w:rsidR="00B576FD" w:rsidRPr="00B576FD" w:rsidRDefault="00B576FD" w:rsidP="00B576FD">
      <w:pPr>
        <w:jc w:val="both"/>
        <w:rPr>
          <w:sz w:val="23"/>
          <w:szCs w:val="23"/>
          <w:lang w:val="es-ES"/>
        </w:rPr>
      </w:pPr>
      <w:r w:rsidRPr="00B576FD">
        <w:rPr>
          <w:sz w:val="23"/>
          <w:szCs w:val="23"/>
          <w:lang w:val="es-ES"/>
        </w:rPr>
        <w:t xml:space="preserve">Por otra parte, recientemente se dio a conocer a través de la prensa que Codelco seleccionó a la multinacional Río Tinto como socio estratégico para desarrollar el proyecto Paloma en el Salar de Maricunga. </w:t>
      </w:r>
      <w:r w:rsidRPr="00B576FD">
        <w:rPr>
          <w:sz w:val="23"/>
          <w:szCs w:val="23"/>
          <w:lang w:val="es-ES"/>
        </w:rPr>
        <w:t>E</w:t>
      </w:r>
      <w:r w:rsidRPr="00B576FD">
        <w:rPr>
          <w:sz w:val="23"/>
          <w:szCs w:val="23"/>
          <w:lang w:val="es-ES"/>
        </w:rPr>
        <w:t xml:space="preserve">l procedimiento también se caracterizó por una escasa transparencia, dado que la ciudadanía solo tomó conocimiento del resultado una vez concluido el proceso. </w:t>
      </w:r>
    </w:p>
    <w:p w14:paraId="43135DEA" w14:textId="58F6A7DE" w:rsidR="00B576FD" w:rsidRPr="00B576FD" w:rsidRDefault="00B576FD" w:rsidP="00B576FD">
      <w:pPr>
        <w:jc w:val="both"/>
        <w:rPr>
          <w:sz w:val="23"/>
          <w:szCs w:val="23"/>
          <w:lang w:val="es-ES"/>
        </w:rPr>
        <w:sectPr w:rsidR="00B576FD" w:rsidRPr="00B576FD" w:rsidSect="00B576FD">
          <w:pgSz w:w="11906" w:h="16838"/>
          <w:pgMar w:top="851" w:right="1134" w:bottom="851" w:left="1134" w:header="709" w:footer="709" w:gutter="0"/>
          <w:cols w:space="720"/>
        </w:sectPr>
      </w:pPr>
      <w:r w:rsidRPr="00B576FD">
        <w:rPr>
          <w:sz w:val="23"/>
          <w:szCs w:val="23"/>
          <w:lang w:val="es-ES"/>
        </w:rPr>
        <w:t xml:space="preserve">En conjunto, estos casos evidencian que el gobierno ha comenzado a consolidar alianzas para la explotación del litio a espaldas de la ciudadanía, debilitando así la democracia y los mecanismos de control social, abriendo espacios para la corrupción y la captura del Estado. En este contexto, desde Fundación </w:t>
      </w:r>
      <w:proofErr w:type="spellStart"/>
      <w:r w:rsidRPr="00B576FD">
        <w:rPr>
          <w:sz w:val="23"/>
          <w:szCs w:val="23"/>
          <w:lang w:val="es-ES"/>
        </w:rPr>
        <w:t>Terram</w:t>
      </w:r>
      <w:proofErr w:type="spellEnd"/>
      <w:r w:rsidRPr="00B576FD">
        <w:rPr>
          <w:sz w:val="23"/>
          <w:szCs w:val="23"/>
          <w:lang w:val="es-ES"/>
        </w:rPr>
        <w:t xml:space="preserve"> consideramos urgente avanzar en medidas concretas que permitan reducir los riesgos de corrupción y elevar sustantivamente los estándares de probidad y transparencia. […]</w:t>
      </w:r>
    </w:p>
    <w:p w14:paraId="24BDFB6A" w14:textId="77777777" w:rsidR="00F201E7" w:rsidRDefault="00F201E7" w:rsidP="00B576FD">
      <w:pPr>
        <w:jc w:val="both"/>
      </w:pPr>
    </w:p>
    <w:sectPr w:rsidR="00F201E7" w:rsidSect="00B576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FD"/>
    <w:rsid w:val="00952FC6"/>
    <w:rsid w:val="00B576FD"/>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CA7E"/>
  <w15:chartTrackingRefBased/>
  <w15:docId w15:val="{04319FC2-36CE-47C8-9992-146FA164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576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576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576F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576F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576F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576F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576F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576F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576F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576F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576F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576F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576F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576F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576F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576F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576F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576FD"/>
    <w:rPr>
      <w:rFonts w:eastAsiaTheme="majorEastAsia" w:cstheme="majorBidi"/>
      <w:color w:val="272727" w:themeColor="text1" w:themeTint="D8"/>
    </w:rPr>
  </w:style>
  <w:style w:type="paragraph" w:styleId="Titre">
    <w:name w:val="Title"/>
    <w:basedOn w:val="Normal"/>
    <w:next w:val="Normal"/>
    <w:link w:val="TitreCar"/>
    <w:uiPriority w:val="10"/>
    <w:qFormat/>
    <w:rsid w:val="00B576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576F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576F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576F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576FD"/>
    <w:pPr>
      <w:spacing w:before="160"/>
      <w:jc w:val="center"/>
    </w:pPr>
    <w:rPr>
      <w:i/>
      <w:iCs/>
      <w:color w:val="404040" w:themeColor="text1" w:themeTint="BF"/>
    </w:rPr>
  </w:style>
  <w:style w:type="character" w:customStyle="1" w:styleId="CitationCar">
    <w:name w:val="Citation Car"/>
    <w:basedOn w:val="Policepardfaut"/>
    <w:link w:val="Citation"/>
    <w:uiPriority w:val="29"/>
    <w:rsid w:val="00B576FD"/>
    <w:rPr>
      <w:i/>
      <w:iCs/>
      <w:color w:val="404040" w:themeColor="text1" w:themeTint="BF"/>
    </w:rPr>
  </w:style>
  <w:style w:type="paragraph" w:styleId="Paragraphedeliste">
    <w:name w:val="List Paragraph"/>
    <w:basedOn w:val="Normal"/>
    <w:uiPriority w:val="34"/>
    <w:qFormat/>
    <w:rsid w:val="00B576FD"/>
    <w:pPr>
      <w:ind w:left="720"/>
      <w:contextualSpacing/>
    </w:pPr>
  </w:style>
  <w:style w:type="character" w:styleId="Accentuationintense">
    <w:name w:val="Intense Emphasis"/>
    <w:basedOn w:val="Policepardfaut"/>
    <w:uiPriority w:val="21"/>
    <w:qFormat/>
    <w:rsid w:val="00B576FD"/>
    <w:rPr>
      <w:i/>
      <w:iCs/>
      <w:color w:val="2F5496" w:themeColor="accent1" w:themeShade="BF"/>
    </w:rPr>
  </w:style>
  <w:style w:type="paragraph" w:styleId="Citationintense">
    <w:name w:val="Intense Quote"/>
    <w:basedOn w:val="Normal"/>
    <w:next w:val="Normal"/>
    <w:link w:val="CitationintenseCar"/>
    <w:uiPriority w:val="30"/>
    <w:qFormat/>
    <w:rsid w:val="00B576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576FD"/>
    <w:rPr>
      <w:i/>
      <w:iCs/>
      <w:color w:val="2F5496" w:themeColor="accent1" w:themeShade="BF"/>
    </w:rPr>
  </w:style>
  <w:style w:type="character" w:styleId="Rfrenceintense">
    <w:name w:val="Intense Reference"/>
    <w:basedOn w:val="Policepardfaut"/>
    <w:uiPriority w:val="32"/>
    <w:qFormat/>
    <w:rsid w:val="00B576FD"/>
    <w:rPr>
      <w:b/>
      <w:bCs/>
      <w:smallCaps/>
      <w:color w:val="2F5496" w:themeColor="accent1" w:themeShade="BF"/>
      <w:spacing w:val="5"/>
    </w:rPr>
  </w:style>
  <w:style w:type="character" w:styleId="Lienhypertexte">
    <w:name w:val="Hyperlink"/>
    <w:basedOn w:val="Policepardfaut"/>
    <w:uiPriority w:val="99"/>
    <w:unhideWhenUsed/>
    <w:rsid w:val="00B576FD"/>
    <w:rPr>
      <w:color w:val="0563C1" w:themeColor="hyperlink"/>
      <w:u w:val="single"/>
    </w:rPr>
  </w:style>
  <w:style w:type="character" w:styleId="Mentionnonrsolue">
    <w:name w:val="Unresolved Mention"/>
    <w:basedOn w:val="Policepardfaut"/>
    <w:uiPriority w:val="99"/>
    <w:semiHidden/>
    <w:unhideWhenUsed/>
    <w:rsid w:val="00B576FD"/>
    <w:rPr>
      <w:color w:val="605E5C"/>
      <w:shd w:val="clear" w:color="auto" w:fill="E1DFDD"/>
    </w:rPr>
  </w:style>
  <w:style w:type="character" w:styleId="Numrodeligne">
    <w:name w:val="line number"/>
    <w:basedOn w:val="Policepardfaut"/>
    <w:uiPriority w:val="99"/>
    <w:semiHidden/>
    <w:unhideWhenUsed/>
    <w:rsid w:val="00B57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pais.com/chile/2024-05-31/codelco-y-sqm-sellan-el-pacto-para-impulsar-el-litio-chileno.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624</Words>
  <Characters>3434</Characters>
  <Application>Microsoft Office Word</Application>
  <DocSecurity>0</DocSecurity>
  <Lines>28</Lines>
  <Paragraphs>8</Paragraphs>
  <ScaleCrop>false</ScaleCrop>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2025-12-13T12:36:00Z</dcterms:created>
  <dcterms:modified xsi:type="dcterms:W3CDTF">2025-12-13T12:49:00Z</dcterms:modified>
</cp:coreProperties>
</file>