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C38" w:rsidRDefault="00B06C38" w:rsidP="00B06C38">
      <w:pPr>
        <w:spacing w:line="288" w:lineRule="auto"/>
        <w:rPr>
          <w:b/>
          <w:szCs w:val="24"/>
        </w:rPr>
      </w:pPr>
      <w:r>
        <w:rPr>
          <w:b/>
          <w:szCs w:val="24"/>
        </w:rPr>
        <w:t>Entraînements facultatifs</w:t>
      </w:r>
    </w:p>
    <w:p w:rsidR="00B06C38" w:rsidRPr="00B06C38" w:rsidRDefault="00B06C38" w:rsidP="00B06C38">
      <w:pPr>
        <w:spacing w:line="288" w:lineRule="auto"/>
        <w:rPr>
          <w:b/>
          <w:szCs w:val="24"/>
        </w:rPr>
      </w:pPr>
      <w:bookmarkStart w:id="0" w:name="_GoBack"/>
      <w:bookmarkEnd w:id="0"/>
    </w:p>
    <w:p w:rsidR="0096544A" w:rsidRPr="002D6232" w:rsidRDefault="0096544A" w:rsidP="0096544A">
      <w:pPr>
        <w:spacing w:line="288" w:lineRule="auto"/>
        <w:jc w:val="center"/>
        <w:rPr>
          <w:b/>
          <w:sz w:val="28"/>
          <w:szCs w:val="28"/>
        </w:rPr>
      </w:pPr>
      <w:r w:rsidRPr="002D6232">
        <w:rPr>
          <w:b/>
          <w:sz w:val="28"/>
          <w:szCs w:val="28"/>
        </w:rPr>
        <w:t xml:space="preserve">Texte d’après Jean-François </w:t>
      </w:r>
      <w:proofErr w:type="spellStart"/>
      <w:r w:rsidRPr="002D6232">
        <w:rPr>
          <w:b/>
          <w:sz w:val="28"/>
          <w:szCs w:val="28"/>
        </w:rPr>
        <w:t>Dortier</w:t>
      </w:r>
      <w:proofErr w:type="spellEnd"/>
      <w:r w:rsidRPr="002D6232">
        <w:rPr>
          <w:b/>
          <w:sz w:val="28"/>
          <w:szCs w:val="28"/>
        </w:rPr>
        <w:t>, « Empathie et bienveillance », Sciences humaines, 2017.</w:t>
      </w:r>
    </w:p>
    <w:p w:rsidR="002D6232" w:rsidRDefault="002D6232" w:rsidP="0096544A">
      <w:pPr>
        <w:spacing w:line="288" w:lineRule="auto"/>
      </w:pPr>
    </w:p>
    <w:p w:rsidR="0096544A" w:rsidRDefault="0096544A" w:rsidP="0096544A">
      <w:pPr>
        <w:spacing w:line="288" w:lineRule="auto"/>
      </w:pPr>
      <w:r>
        <w:t xml:space="preserve">Vous résumerez ce texte en </w:t>
      </w:r>
      <w:r w:rsidRPr="00B06C38">
        <w:rPr>
          <w:b/>
        </w:rPr>
        <w:t>185 mots</w:t>
      </w:r>
      <w:r>
        <w:t>. Une tolérance de +/- 10% est admise : votre travail comptera au moins 167 mots et au plus 204 mots.</w:t>
      </w:r>
    </w:p>
    <w:p w:rsidR="0096544A" w:rsidRDefault="0096544A" w:rsidP="0096544A">
      <w:pPr>
        <w:spacing w:line="288" w:lineRule="auto"/>
      </w:pPr>
      <w:r>
        <w:t>Vous placerez un repère dans votre travail tous les 50 mots et indiquerez, à la fin de votre contraction, le nombre total de mots utilisés.</w:t>
      </w:r>
    </w:p>
    <w:p w:rsidR="0096544A" w:rsidRDefault="0096544A" w:rsidP="0096544A">
      <w:pPr>
        <w:spacing w:line="288" w:lineRule="auto"/>
      </w:pPr>
    </w:p>
    <w:p w:rsidR="0096544A" w:rsidRDefault="0096544A" w:rsidP="0096544A">
      <w:pPr>
        <w:spacing w:line="288" w:lineRule="auto"/>
      </w:pPr>
      <w:r>
        <w:t xml:space="preserve">   La mode de l’empathie – et des qualités qui lui sont associées comme la bienveillance, la gentillesse et la sollicitude – peut se mesurer à des indices assez sûrs : la courbe d’apparition du mot et le nombre d’ouvrages qui lui sont consacrés sont significatifs ! Depuis quelques années, l’empathie est étudiée sous toutes les coutures. Dans le monde animal : l’éthologue</w:t>
      </w:r>
      <w:r>
        <w:rPr>
          <w:rStyle w:val="Appelnotedebasdep"/>
        </w:rPr>
        <w:footnoteReference w:id="1"/>
      </w:r>
      <w:r>
        <w:t xml:space="preserve"> Frans de Waal se taille de beaux succès avec ses ouvrages sur l’empathie chez les primates, mais aussi les rats, les dauphins, les oiseaux. L’éthologie montre aujourd’hui que le règne animal n’est pas celui de la lutte de tous contre tous ; au contraire, la solidarité y est omniprésente. Chez le petit humain, l’empathie joue aussi un rôle fondamental dès la naissance car la communication entre la mère et l’enfant est un enjeu crucial de développement du nourrisson. Que se passe-t-il ? Pourquoi le mot d’empathie quasiment ignoré il y a une génération prend-il aujourd’hui une telle importance, au point d’en faire la condition essentielle de la vie en commun ?</w:t>
      </w:r>
    </w:p>
    <w:p w:rsidR="0096544A" w:rsidRDefault="0096544A" w:rsidP="0096544A">
      <w:pPr>
        <w:spacing w:line="288" w:lineRule="auto"/>
      </w:pPr>
      <w:r>
        <w:t xml:space="preserve">   À y regarder de près, l’usage du mot est assez équivoque</w:t>
      </w:r>
      <w:r>
        <w:rPr>
          <w:rStyle w:val="Appelnotedebasdep"/>
        </w:rPr>
        <w:footnoteReference w:id="2"/>
      </w:r>
      <w:r>
        <w:t xml:space="preserve">. Pour simplifier, trois significations sont généralement distinguées. L’empathie cognitive désigne la capacité à comprendre les pensées et intentions d’autrui. En psychologie cognitive, on parle aussi de « théorie de l’esprit » – un mot bien sophistiqué pour désigner une chose simple : quand vous observez une personne dans le train la tête tournée vers la fenêtre, les yeux dans le vide, vous comprenez qu’il est en train de rêvasser. Si la personne se met à fouiller dans son sac, vous comprenez qu’elle cherche quelque chose. Bref, sans percer complètement ses pensées (à quoi rêve-t-elle, que cherche-t-elle ?), vous percevez globalement ses intentions. Cette capacité à lire dans la pensée d’autrui a fait l’objet de quatre décennies de recherches pour savoir si elle était le propre de l’homme. La question n’est pas vraiment tranchée. L’empathie affective est la capacité à comprendre, non pas les pensées, mais les émotions d’autrui. Ce partage d’émotions va au-delà de la simple contagion émotionnelle (le fou rire qui se propage dans un groupe). Comprendre les émotions d’autrui, ce n’est pas forcément les partager. On peut percevoir la tristesse ou l’inquiétude de l’autre sans l’éprouver soi- même. Il est même une forme d’empathie affective très ... perverse qui consiste à se réjouir parfois du malheur d’autrui. L’empathie « compassionnelle », enfin, </w:t>
      </w:r>
      <w:r>
        <w:lastRenderedPageBreak/>
        <w:t>est l’autre nom de la sollicitude. Elle ne consiste pas simplement à constater la souffrance ou la joie d’autrui, mais suppose une attitude bienveillante à son égard. Quand je cherche à consoler un enfant, un ami, un proche qui a subi une perte..., je n’éprouve pas forcément de peine, mais je sais que quelque chose ne va pas, je m’en soucie et souhaite apporter quelques mots ou gestes de réconfort.</w:t>
      </w:r>
    </w:p>
    <w:p w:rsidR="002B07EC" w:rsidRDefault="0096544A" w:rsidP="0096544A">
      <w:pPr>
        <w:spacing w:line="288" w:lineRule="auto"/>
      </w:pPr>
      <w:r>
        <w:t xml:space="preserve">   Pourquoi l’empathie et les notions associées – bienveillance ou sollicitude – </w:t>
      </w:r>
      <w:proofErr w:type="spellStart"/>
      <w:r>
        <w:t>ont-elles</w:t>
      </w:r>
      <w:proofErr w:type="spellEnd"/>
      <w:r>
        <w:t xml:space="preserve"> pris une telle importance ces dernières années </w:t>
      </w:r>
      <w:proofErr w:type="gramStart"/>
      <w:r>
        <w:t>æ?</w:t>
      </w:r>
      <w:proofErr w:type="gramEnd"/>
      <w:r>
        <w:t xml:space="preserve"> On peut repérer deux logiques combinées : celle des idées et celle des attentes sociales. Du point de vue des idées, le thème de l’empathie s’inscrit dans une montée en puissance des modèles relatifs aux origines de la morale, de l’altruisme et plus généralement du « propre de l’homme ». En philosophie morale, l’empathie et le souci d’autrui sont à relier à ce grand courant de pensée qui s’est noué autour du « care</w:t>
      </w:r>
      <w:r>
        <w:rPr>
          <w:rStyle w:val="Appelnotedebasdep"/>
        </w:rPr>
        <w:footnoteReference w:id="3"/>
      </w:r>
      <w:r>
        <w:t xml:space="preserve"> » et de l</w:t>
      </w:r>
      <w:proofErr w:type="gramStart"/>
      <w:r>
        <w:t>’«</w:t>
      </w:r>
      <w:proofErr w:type="gramEnd"/>
      <w:r>
        <w:t> éthique de la sollicitude » à l’égard des personnes vulnérables (enfants, vieillards, handicapés, réfugiés et victimes). La montée en puissance du « care » et du souci de l’autre s’explique aussi par un phénomène social d’importance : l’augmentation et la diversification des professions liées au soin et à la santé. La prise en charge des enfants, des personnes âgées, des malades et handicapés et personnes démunies a connu depuis un demi-siècle la plus forte expansion dans les pays développés. Tous ces personnels – assistantes maternelles, infirmières, aides-soignants, aides à domicile, éducateurs et travailleurs sociaux – sont confrontés à une tâche très singulière : s’occuper d’êtres humains. Et quand on confie ses enfants ou ses propres parents à une autre personne, on attend d’elle qu’elle fasse preuve de sollicitude et d’attention. La bienveillance a gagné aujourd’hui bien d’autres sphères que le secteur du soin : c’est devenu un mot d’ordre dans l’enseignement, le management et même la politique.</w:t>
      </w:r>
    </w:p>
    <w:p w:rsidR="0096544A" w:rsidRPr="0096544A" w:rsidRDefault="0096544A" w:rsidP="0096544A">
      <w:pPr>
        <w:spacing w:line="288" w:lineRule="auto"/>
        <w:jc w:val="right"/>
        <w:rPr>
          <w:b/>
        </w:rPr>
      </w:pPr>
      <w:r w:rsidRPr="0096544A">
        <w:rPr>
          <w:b/>
        </w:rPr>
        <w:t>738 mots</w:t>
      </w:r>
    </w:p>
    <w:sectPr w:rsidR="0096544A" w:rsidRPr="0096544A" w:rsidSect="0054060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F2B" w:rsidRDefault="002A2F2B" w:rsidP="0096544A">
      <w:pPr>
        <w:spacing w:after="0" w:line="240" w:lineRule="auto"/>
      </w:pPr>
      <w:r>
        <w:separator/>
      </w:r>
    </w:p>
  </w:endnote>
  <w:endnote w:type="continuationSeparator" w:id="0">
    <w:p w:rsidR="002A2F2B" w:rsidRDefault="002A2F2B" w:rsidP="0096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F2B" w:rsidRDefault="002A2F2B" w:rsidP="0096544A">
      <w:pPr>
        <w:spacing w:after="0" w:line="240" w:lineRule="auto"/>
      </w:pPr>
      <w:r>
        <w:separator/>
      </w:r>
    </w:p>
  </w:footnote>
  <w:footnote w:type="continuationSeparator" w:id="0">
    <w:p w:rsidR="002A2F2B" w:rsidRDefault="002A2F2B" w:rsidP="0096544A">
      <w:pPr>
        <w:spacing w:after="0" w:line="240" w:lineRule="auto"/>
      </w:pPr>
      <w:r>
        <w:continuationSeparator/>
      </w:r>
    </w:p>
  </w:footnote>
  <w:footnote w:id="1">
    <w:p w:rsidR="0096544A" w:rsidRDefault="0096544A">
      <w:pPr>
        <w:pStyle w:val="Notedebasdepage"/>
      </w:pPr>
      <w:r>
        <w:rPr>
          <w:rStyle w:val="Appelnotedebasdep"/>
        </w:rPr>
        <w:footnoteRef/>
      </w:r>
      <w:r>
        <w:t xml:space="preserve"> Spécialiste de l’éthologie, c’est-à-dire de l’étude scientifique du comportement animal.</w:t>
      </w:r>
    </w:p>
  </w:footnote>
  <w:footnote w:id="2">
    <w:p w:rsidR="0096544A" w:rsidRDefault="0096544A">
      <w:pPr>
        <w:pStyle w:val="Notedebasdepage"/>
      </w:pPr>
      <w:r>
        <w:rPr>
          <w:rStyle w:val="Appelnotedebasdep"/>
        </w:rPr>
        <w:footnoteRef/>
      </w:r>
      <w:r>
        <w:t xml:space="preserve"> Dont le sens est ambigu.</w:t>
      </w:r>
    </w:p>
  </w:footnote>
  <w:footnote w:id="3">
    <w:p w:rsidR="0096544A" w:rsidRDefault="0096544A">
      <w:pPr>
        <w:pStyle w:val="Notedebasdepage"/>
      </w:pPr>
      <w:r>
        <w:rPr>
          <w:rStyle w:val="Appelnotedebasdep"/>
        </w:rPr>
        <w:footnoteRef/>
      </w:r>
      <w:r>
        <w:t xml:space="preserve"> Mot anglais renvoyant au « soin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4A"/>
    <w:rsid w:val="002A2F2B"/>
    <w:rsid w:val="002B07EC"/>
    <w:rsid w:val="002D6232"/>
    <w:rsid w:val="0054060A"/>
    <w:rsid w:val="0096544A"/>
    <w:rsid w:val="00995ACB"/>
    <w:rsid w:val="00B06C38"/>
    <w:rsid w:val="00BA3DF6"/>
    <w:rsid w:val="00C07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627B8B"/>
  <w15:chartTrackingRefBased/>
  <w15:docId w15:val="{20ABBBCC-8D89-004A-B6C2-9DA5DA2F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F6"/>
    <w:pPr>
      <w:spacing w:after="160" w:line="256" w:lineRule="auto"/>
      <w:jc w:val="both"/>
    </w:pPr>
    <w:rPr>
      <w:rFonts w:ascii="Times New Roman" w:hAnsi="Times New Roman"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pPr>
  </w:style>
  <w:style w:type="paragraph" w:customStyle="1" w:styleId="IntroConclusion">
    <w:name w:val="Intro / Conclusion"/>
    <w:basedOn w:val="Normal"/>
    <w:qFormat/>
    <w:rsid w:val="00BA3DF6"/>
    <w:pPr>
      <w:spacing w:before="240" w:after="240" w:line="360" w:lineRule="auto"/>
    </w:pPr>
    <w:rPr>
      <w:b/>
    </w:rPr>
  </w:style>
  <w:style w:type="paragraph" w:customStyle="1" w:styleId="PartiesetChapitres">
    <w:name w:val="Parties et Chapitres"/>
    <w:basedOn w:val="Normal"/>
    <w:qFormat/>
    <w:rsid w:val="00BA3DF6"/>
    <w:pPr>
      <w:spacing w:before="240" w:after="240" w:line="360" w:lineRule="auto"/>
      <w:jc w:val="center"/>
    </w:pPr>
    <w:rPr>
      <w:b/>
      <w:sz w:val="28"/>
      <w:szCs w:val="28"/>
    </w:rPr>
  </w:style>
  <w:style w:type="paragraph" w:customStyle="1" w:styleId="Titreabc">
    <w:name w:val="Titre abc"/>
    <w:basedOn w:val="Normal"/>
    <w:qFormat/>
    <w:rsid w:val="00BA3DF6"/>
    <w:pPr>
      <w:numPr>
        <w:ilvl w:val="1"/>
        <w:numId w:val="1"/>
      </w:numPr>
      <w:spacing w:before="240" w:after="240" w:line="360" w:lineRule="auto"/>
    </w:pPr>
  </w:style>
  <w:style w:type="paragraph" w:customStyle="1" w:styleId="Titrethse123">
    <w:name w:val="Titre thèse 123"/>
    <w:basedOn w:val="Normal"/>
    <w:qFormat/>
    <w:rsid w:val="00BA3DF6"/>
    <w:pPr>
      <w:numPr>
        <w:numId w:val="2"/>
      </w:numPr>
      <w:spacing w:before="240" w:after="240" w:line="360" w:lineRule="auto"/>
    </w:pPr>
    <w:rPr>
      <w:b/>
      <w:szCs w:val="24"/>
    </w:rPr>
  </w:style>
  <w:style w:type="paragraph" w:customStyle="1" w:styleId="TitrethseABC">
    <w:name w:val="Titre thèse ABC"/>
    <w:basedOn w:val="Normal"/>
    <w:qFormat/>
    <w:rsid w:val="00BA3DF6"/>
    <w:pPr>
      <w:numPr>
        <w:numId w:val="3"/>
      </w:numPr>
      <w:spacing w:before="240" w:after="240" w:line="360" w:lineRule="auto"/>
    </w:pPr>
    <w:rPr>
      <w:b/>
      <w:szCs w:val="28"/>
    </w:rPr>
  </w:style>
  <w:style w:type="paragraph" w:customStyle="1" w:styleId="TitrethseIIIIII">
    <w:name w:val="Titre thèse I II III"/>
    <w:basedOn w:val="Normal"/>
    <w:qFormat/>
    <w:rsid w:val="00BA3DF6"/>
    <w:pPr>
      <w:numPr>
        <w:numId w:val="4"/>
      </w:numPr>
      <w:spacing w:before="240" w:after="240" w:line="360" w:lineRule="auto"/>
    </w:pPr>
    <w:rPr>
      <w:b/>
      <w:color w:val="000000" w:themeColor="text1"/>
      <w:sz w:val="28"/>
      <w:szCs w:val="28"/>
    </w:rPr>
  </w:style>
  <w:style w:type="paragraph" w:styleId="Notedebasdepage">
    <w:name w:val="footnote text"/>
    <w:basedOn w:val="Normal"/>
    <w:link w:val="NotedebasdepageCar"/>
    <w:uiPriority w:val="99"/>
    <w:semiHidden/>
    <w:unhideWhenUsed/>
    <w:rsid w:val="009654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544A"/>
    <w:rPr>
      <w:rFonts w:ascii="Times New Roman" w:hAnsi="Times New Roman" w:cs="Times New Roman"/>
      <w:sz w:val="20"/>
      <w:szCs w:val="20"/>
    </w:rPr>
  </w:style>
  <w:style w:type="character" w:styleId="Appelnotedebasdep">
    <w:name w:val="footnote reference"/>
    <w:basedOn w:val="Policepardfaut"/>
    <w:uiPriority w:val="99"/>
    <w:semiHidden/>
    <w:unhideWhenUsed/>
    <w:rsid w:val="0096544A"/>
    <w:rPr>
      <w:vertAlign w:val="superscript"/>
    </w:rPr>
  </w:style>
  <w:style w:type="paragraph" w:styleId="Textedebulles">
    <w:name w:val="Balloon Text"/>
    <w:basedOn w:val="Normal"/>
    <w:link w:val="TextedebullesCar"/>
    <w:uiPriority w:val="99"/>
    <w:semiHidden/>
    <w:unhideWhenUsed/>
    <w:rsid w:val="00B06C38"/>
    <w:pPr>
      <w:spacing w:after="0" w:line="240" w:lineRule="auto"/>
    </w:pPr>
    <w:rPr>
      <w:sz w:val="18"/>
      <w:szCs w:val="18"/>
    </w:rPr>
  </w:style>
  <w:style w:type="character" w:customStyle="1" w:styleId="TextedebullesCar">
    <w:name w:val="Texte de bulles Car"/>
    <w:basedOn w:val="Policepardfaut"/>
    <w:link w:val="Textedebulles"/>
    <w:uiPriority w:val="99"/>
    <w:semiHidden/>
    <w:rsid w:val="00B06C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49789-8235-C048-9F56-4E6B07AF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4121</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2026-02-16T08:57:00Z</cp:lastPrinted>
  <dcterms:created xsi:type="dcterms:W3CDTF">2026-02-16T08:57:00Z</dcterms:created>
  <dcterms:modified xsi:type="dcterms:W3CDTF">2026-02-16T08:57:00Z</dcterms:modified>
</cp:coreProperties>
</file>