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/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CULTURE ANTIQUE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/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Thème d’année 202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5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-202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6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 : L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’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Ailleurs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-142" w:firstLine="0"/>
        <w:rPr/>
      </w:pPr>
      <w:r w:rsidDel="00000000" w:rsidR="00000000" w:rsidRPr="00000000">
        <w:rPr>
          <w:b w:val="1"/>
          <w:i w:val="1"/>
          <w:color w:val="000000"/>
          <w:rtl w:val="0"/>
        </w:rPr>
        <w:tab/>
        <w:tab/>
      </w:r>
      <w:r w:rsidDel="00000000" w:rsidR="00000000" w:rsidRPr="00000000">
        <w:rPr>
          <w:i w:val="1"/>
          <w:color w:val="000000"/>
          <w:rtl w:val="0"/>
        </w:rPr>
        <w:t xml:space="preserve">Le cours de culture antique a lieu pour tous les élèves pendant une heure par semaine, afin de vous plonger dans un monde fascinant, et de vous donner accès à la source antique, qui permet de comprendre les racines de ce que vous étudiez dans les autres cours. Ce cours est complété par l’étude du latin et/ou du grec.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/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À lire pour la rentrée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, en traduction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i w:val="1"/>
          <w:color w:val="000000"/>
        </w:rPr>
      </w:pPr>
      <w:r w:rsidDel="00000000" w:rsidR="00000000" w:rsidRPr="00000000">
        <w:rPr>
          <w:rtl w:val="0"/>
        </w:rPr>
        <w:t xml:space="preserve">Homère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i w:val="1"/>
          <w:color w:val="000000"/>
          <w:rtl w:val="0"/>
        </w:rPr>
        <w:t xml:space="preserve">L</w:t>
      </w:r>
      <w:r w:rsidDel="00000000" w:rsidR="00000000" w:rsidRPr="00000000">
        <w:rPr>
          <w:i w:val="1"/>
          <w:rtl w:val="0"/>
        </w:rPr>
        <w:t xml:space="preserve">’Odyssée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(trad. P. Mazon, ou la traduction poétique de P. Jaccottet)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i w:val="1"/>
        </w:rPr>
      </w:pPr>
      <w:r w:rsidDel="00000000" w:rsidR="00000000" w:rsidRPr="00000000">
        <w:rPr>
          <w:rtl w:val="0"/>
        </w:rPr>
        <w:t xml:space="preserve">Tacite</w:t>
      </w:r>
      <w:r w:rsidDel="00000000" w:rsidR="00000000" w:rsidRPr="00000000">
        <w:rPr>
          <w:color w:val="000000"/>
          <w:rtl w:val="0"/>
        </w:rPr>
        <w:t xml:space="preserve">,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La Germanie</w:t>
      </w:r>
    </w:p>
    <w:p w:rsidR="00000000" w:rsidDel="00000000" w:rsidP="00000000" w:rsidRDefault="00000000" w:rsidRPr="00000000" w14:paraId="0000000A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  </w:t>
        <w:tab/>
      </w:r>
      <w:r w:rsidDel="00000000" w:rsidR="00000000" w:rsidRPr="00000000">
        <w:rPr/>
        <w:drawing>
          <wp:inline distB="114300" distT="114300" distL="114300" distR="114300">
            <wp:extent cx="2958945" cy="234811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8945" cy="2348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hanging="142"/>
        <w:rPr>
          <w:color w:val="000000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Conseils de lecture</w:t>
      </w:r>
      <w:r w:rsidDel="00000000" w:rsidR="00000000" w:rsidRPr="00000000">
        <w:rPr>
          <w:color w:val="000000"/>
          <w:rtl w:val="0"/>
        </w:rPr>
        <w:t xml:space="preserve">, en fonction de vos centres d’intérêt :</w:t>
      </w:r>
    </w:p>
    <w:p w:rsidR="00000000" w:rsidDel="00000000" w:rsidP="00000000" w:rsidRDefault="00000000" w:rsidRPr="00000000" w14:paraId="0000000D">
      <w:pPr>
        <w:spacing w:line="240" w:lineRule="auto"/>
        <w:ind w:hanging="1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b w:val="1"/>
          <w:i w:val="1"/>
          <w:color w:val="000000"/>
          <w:rtl w:val="0"/>
        </w:rPr>
        <w:t xml:space="preserve">Oeuvres antiques en traduction 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/>
        <w:sectPr>
          <w:pgSz w:h="16838" w:w="11906" w:orient="portrait"/>
          <w:pgMar w:bottom="426" w:top="426" w:left="851" w:right="707" w:header="708" w:footer="708"/>
          <w:pgNumType w:start="1"/>
        </w:sectPr>
      </w:pPr>
      <w:r w:rsidDel="00000000" w:rsidR="00000000" w:rsidRPr="00000000">
        <w:rPr>
          <w:color w:val="000000"/>
          <w:rtl w:val="0"/>
        </w:rPr>
        <w:t xml:space="preserve">Homère, </w:t>
      </w:r>
      <w:r w:rsidDel="00000000" w:rsidR="00000000" w:rsidRPr="00000000">
        <w:rPr>
          <w:i w:val="1"/>
          <w:color w:val="000000"/>
          <w:rtl w:val="0"/>
        </w:rPr>
        <w:t xml:space="preserve">L’Iliade</w:t>
      </w:r>
      <w:r w:rsidDel="00000000" w:rsidR="00000000" w:rsidRPr="00000000">
        <w:rPr>
          <w:color w:val="000000"/>
          <w:rtl w:val="0"/>
        </w:rPr>
        <w:t xml:space="preserve">, en particulier le chant XXII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(trad. P. Mazon, ou P. Brunet)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i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Eschyle, </w:t>
      </w:r>
      <w:r w:rsidDel="00000000" w:rsidR="00000000" w:rsidRPr="00000000">
        <w:rPr>
          <w:i w:val="1"/>
          <w:color w:val="000000"/>
          <w:rtl w:val="0"/>
        </w:rPr>
        <w:t xml:space="preserve">Les Perses</w:t>
      </w:r>
    </w:p>
    <w:p w:rsidR="00000000" w:rsidDel="00000000" w:rsidP="00000000" w:rsidRDefault="00000000" w:rsidRPr="00000000" w14:paraId="00000011">
      <w:pPr>
        <w:spacing w:line="240" w:lineRule="auto"/>
        <w:rPr>
          <w:i w:val="1"/>
        </w:rPr>
      </w:pPr>
      <w:r w:rsidDel="00000000" w:rsidR="00000000" w:rsidRPr="00000000">
        <w:rPr>
          <w:color w:val="000000"/>
          <w:rtl w:val="0"/>
        </w:rPr>
        <w:t xml:space="preserve">Sophocle, </w:t>
      </w:r>
      <w:r w:rsidDel="00000000" w:rsidR="00000000" w:rsidRPr="00000000">
        <w:rPr>
          <w:i w:val="1"/>
          <w:color w:val="000000"/>
          <w:rtl w:val="0"/>
        </w:rPr>
        <w:t xml:space="preserve">Ajax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i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Platon, </w:t>
      </w:r>
      <w:r w:rsidDel="00000000" w:rsidR="00000000" w:rsidRPr="00000000">
        <w:rPr>
          <w:i w:val="1"/>
          <w:color w:val="000000"/>
          <w:rtl w:val="0"/>
        </w:rPr>
        <w:t xml:space="preserve">La République</w:t>
      </w:r>
      <w:r w:rsidDel="00000000" w:rsidR="00000000" w:rsidRPr="00000000">
        <w:rPr>
          <w:color w:val="000000"/>
          <w:rtl w:val="0"/>
        </w:rPr>
        <w:t xml:space="preserve"> ; </w:t>
      </w:r>
      <w:r w:rsidDel="00000000" w:rsidR="00000000" w:rsidRPr="00000000">
        <w:rPr>
          <w:i w:val="1"/>
          <w:color w:val="000000"/>
          <w:rtl w:val="0"/>
        </w:rPr>
        <w:t xml:space="preserve">Le Banquet</w:t>
      </w:r>
    </w:p>
    <w:p w:rsidR="00000000" w:rsidDel="00000000" w:rsidP="00000000" w:rsidRDefault="00000000" w:rsidRPr="00000000" w14:paraId="00000013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i w:val="1"/>
        </w:rPr>
      </w:pPr>
      <w:r w:rsidDel="00000000" w:rsidR="00000000" w:rsidRPr="00000000">
        <w:rPr>
          <w:color w:val="000000"/>
          <w:rtl w:val="0"/>
        </w:rPr>
        <w:t xml:space="preserve">Cicéron, </w:t>
      </w:r>
      <w:r w:rsidDel="00000000" w:rsidR="00000000" w:rsidRPr="00000000">
        <w:rPr>
          <w:i w:val="1"/>
          <w:color w:val="000000"/>
          <w:rtl w:val="0"/>
        </w:rPr>
        <w:t xml:space="preserve">Première Catilinaire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Ovide, </w:t>
      </w:r>
      <w:r w:rsidDel="00000000" w:rsidR="00000000" w:rsidRPr="00000000">
        <w:rPr>
          <w:i w:val="1"/>
          <w:color w:val="000000"/>
          <w:rtl w:val="0"/>
        </w:rPr>
        <w:t xml:space="preserve">Les Métamorphoses, Les Héroïdes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i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Horace, </w:t>
      </w:r>
      <w:r w:rsidDel="00000000" w:rsidR="00000000" w:rsidRPr="00000000">
        <w:rPr>
          <w:i w:val="1"/>
          <w:color w:val="000000"/>
          <w:rtl w:val="0"/>
        </w:rPr>
        <w:t xml:space="preserve">Satires</w:t>
      </w:r>
    </w:p>
    <w:p w:rsidR="00000000" w:rsidDel="00000000" w:rsidP="00000000" w:rsidRDefault="00000000" w:rsidRPr="00000000" w14:paraId="0000001A">
      <w:pPr>
        <w:spacing w:line="240" w:lineRule="auto"/>
        <w:rPr>
          <w:i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Sénèque, </w:t>
      </w:r>
      <w:r w:rsidDel="00000000" w:rsidR="00000000" w:rsidRPr="00000000">
        <w:rPr>
          <w:i w:val="1"/>
          <w:color w:val="000000"/>
          <w:rtl w:val="0"/>
        </w:rPr>
        <w:t xml:space="preserve">Médée</w:t>
      </w:r>
    </w:p>
    <w:p w:rsidR="00000000" w:rsidDel="00000000" w:rsidP="00000000" w:rsidRDefault="00000000" w:rsidRPr="00000000" w14:paraId="0000001B">
      <w:pPr>
        <w:spacing w:line="240" w:lineRule="auto"/>
        <w:rPr>
          <w:color w:val="000000"/>
        </w:rPr>
        <w:sectPr>
          <w:type w:val="continuous"/>
          <w:pgSz w:h="16838" w:w="11906" w:orient="portrait"/>
          <w:pgMar w:bottom="426" w:top="426" w:left="851" w:right="707" w:header="708" w:footer="708"/>
          <w:cols w:equalWidth="0" w:num="2">
            <w:col w:space="708" w:w="4820"/>
            <w:col w:space="0" w:w="4820"/>
          </w:cols>
        </w:sectPr>
      </w:pPr>
      <w:bookmarkStart w:colFirst="0" w:colLast="0" w:name="_heading=h.eweuc9tzdpqu" w:id="0"/>
      <w:bookmarkEnd w:id="0"/>
      <w:r w:rsidDel="00000000" w:rsidR="00000000" w:rsidRPr="00000000">
        <w:rPr>
          <w:color w:val="000000"/>
          <w:rtl w:val="0"/>
        </w:rPr>
        <w:t xml:space="preserve">Lucain, </w:t>
      </w:r>
      <w:r w:rsidDel="00000000" w:rsidR="00000000" w:rsidRPr="00000000">
        <w:rPr>
          <w:i w:val="1"/>
          <w:color w:val="000000"/>
          <w:rtl w:val="0"/>
        </w:rPr>
        <w:t xml:space="preserve">La Pharsale</w:t>
      </w:r>
      <w:r w:rsidDel="00000000" w:rsidR="00000000" w:rsidRPr="00000000">
        <w:rPr>
          <w:color w:val="000000"/>
          <w:rtl w:val="0"/>
        </w:rPr>
        <w:t xml:space="preserve">, en particulier le chant I</w:t>
      </w:r>
    </w:p>
    <w:p w:rsidR="00000000" w:rsidDel="00000000" w:rsidP="00000000" w:rsidRDefault="00000000" w:rsidRPr="00000000" w14:paraId="0000001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/>
      </w:pPr>
      <w:r w:rsidDel="00000000" w:rsidR="00000000" w:rsidRPr="00000000">
        <w:rPr>
          <w:b w:val="1"/>
          <w:i w:val="1"/>
          <w:color w:val="000000"/>
          <w:rtl w:val="0"/>
        </w:rPr>
        <w:t xml:space="preserve">Mythologie</w:t>
      </w:r>
      <w:r w:rsidDel="00000000" w:rsidR="00000000" w:rsidRPr="00000000">
        <w:rPr>
          <w:color w:val="000000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C. Salles, </w:t>
      </w:r>
      <w:r w:rsidDel="00000000" w:rsidR="00000000" w:rsidRPr="00000000">
        <w:rPr>
          <w:i w:val="1"/>
          <w:color w:val="000000"/>
          <w:rtl w:val="0"/>
        </w:rPr>
        <w:t xml:space="preserve">La Mythologie grecque et romaine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J.-P. Vernant, </w:t>
      </w:r>
      <w:r w:rsidDel="00000000" w:rsidR="00000000" w:rsidRPr="00000000">
        <w:rPr>
          <w:i w:val="1"/>
          <w:color w:val="000000"/>
          <w:rtl w:val="0"/>
        </w:rPr>
        <w:t xml:space="preserve">Mythe et pensée chez les Grecs</w:t>
      </w:r>
      <w:r w:rsidDel="00000000" w:rsidR="00000000" w:rsidRPr="00000000">
        <w:rPr>
          <w:color w:val="00000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/>
      </w:pPr>
      <w:r w:rsidDel="00000000" w:rsidR="00000000" w:rsidRPr="00000000">
        <w:rPr>
          <w:b w:val="1"/>
          <w:i w:val="1"/>
          <w:color w:val="000000"/>
          <w:rtl w:val="0"/>
        </w:rPr>
        <w:t xml:space="preserve">Civilisation 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P. Borgeaud et J.-P. Vernant, </w:t>
      </w:r>
      <w:r w:rsidDel="00000000" w:rsidR="00000000" w:rsidRPr="00000000">
        <w:rPr>
          <w:i w:val="1"/>
          <w:color w:val="000000"/>
          <w:rtl w:val="0"/>
        </w:rPr>
        <w:t xml:space="preserve">L’Homme grec</w:t>
      </w:r>
      <w:r w:rsidDel="00000000" w:rsidR="00000000" w:rsidRPr="00000000">
        <w:rPr>
          <w:color w:val="000000"/>
          <w:rtl w:val="0"/>
        </w:rPr>
        <w:t xml:space="preserve">, Points seuil Histoire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P. Grimal, </w:t>
      </w:r>
      <w:r w:rsidDel="00000000" w:rsidR="00000000" w:rsidRPr="00000000">
        <w:rPr>
          <w:i w:val="1"/>
          <w:color w:val="000000"/>
          <w:rtl w:val="0"/>
        </w:rPr>
        <w:t xml:space="preserve">La Civilisation romaine</w:t>
      </w:r>
      <w:r w:rsidDel="00000000" w:rsidR="00000000" w:rsidRPr="00000000">
        <w:rPr>
          <w:color w:val="000000"/>
          <w:rtl w:val="0"/>
        </w:rPr>
        <w:t xml:space="preserve">, Champs Histoire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Histoire 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 w14:paraId="00000026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F. Lefèvre, </w:t>
      </w:r>
      <w:r w:rsidDel="00000000" w:rsidR="00000000" w:rsidRPr="00000000">
        <w:rPr>
          <w:i w:val="1"/>
          <w:rtl w:val="0"/>
        </w:rPr>
        <w:t xml:space="preserve">Histoire du monde grec</w:t>
      </w:r>
      <w:r w:rsidDel="00000000" w:rsidR="00000000" w:rsidRPr="00000000">
        <w:rPr>
          <w:rtl w:val="0"/>
        </w:rPr>
        <w:t xml:space="preserve">, 2007, Livre de Poche</w:t>
      </w:r>
    </w:p>
    <w:p w:rsidR="00000000" w:rsidDel="00000000" w:rsidP="00000000" w:rsidRDefault="00000000" w:rsidRPr="00000000" w14:paraId="00000027">
      <w:pPr>
        <w:spacing w:line="240" w:lineRule="auto"/>
        <w:jc w:val="left"/>
        <w:rPr/>
      </w:pPr>
      <w:r w:rsidDel="00000000" w:rsidR="00000000" w:rsidRPr="00000000">
        <w:rPr>
          <w:rtl w:val="0"/>
        </w:rPr>
        <w:t xml:space="preserve">L. Jerphagnon, </w:t>
      </w:r>
      <w:r w:rsidDel="00000000" w:rsidR="00000000" w:rsidRPr="00000000">
        <w:rPr>
          <w:i w:val="1"/>
          <w:rtl w:val="0"/>
        </w:rPr>
        <w:t xml:space="preserve">Histoire de la Rome antique</w:t>
      </w:r>
      <w:r w:rsidDel="00000000" w:rsidR="00000000" w:rsidRPr="00000000">
        <w:rPr>
          <w:rtl w:val="0"/>
        </w:rPr>
        <w:t xml:space="preserve">, 1987, Pluriel</w:t>
      </w:r>
    </w:p>
    <w:p w:rsidR="00000000" w:rsidDel="00000000" w:rsidP="00000000" w:rsidRDefault="00000000" w:rsidRPr="00000000" w14:paraId="00000028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/>
      </w:pPr>
      <w:r w:rsidDel="00000000" w:rsidR="00000000" w:rsidRPr="00000000">
        <w:rPr>
          <w:b w:val="1"/>
          <w:i w:val="1"/>
          <w:color w:val="000000"/>
          <w:rtl w:val="0"/>
        </w:rPr>
        <w:t xml:space="preserve">Philosophie</w:t>
      </w:r>
      <w:r w:rsidDel="00000000" w:rsidR="00000000" w:rsidRPr="00000000">
        <w:rPr>
          <w:color w:val="000000"/>
          <w:rtl w:val="0"/>
        </w:rPr>
        <w:t xml:space="preserve"> 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L. Jerphagnon, </w:t>
      </w:r>
      <w:r w:rsidDel="00000000" w:rsidR="00000000" w:rsidRPr="00000000">
        <w:rPr>
          <w:i w:val="1"/>
          <w:color w:val="000000"/>
          <w:rtl w:val="0"/>
        </w:rPr>
        <w:t xml:space="preserve">Histoire de la pensée, d’Homère à Jeanne d’Arc</w:t>
      </w:r>
      <w:r w:rsidDel="00000000" w:rsidR="00000000" w:rsidRPr="00000000">
        <w:rPr>
          <w:color w:val="000000"/>
          <w:rtl w:val="0"/>
        </w:rPr>
        <w:t xml:space="preserve">, Pluriel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C. Lévy, </w:t>
      </w:r>
      <w:r w:rsidDel="00000000" w:rsidR="00000000" w:rsidRPr="00000000">
        <w:rPr>
          <w:i w:val="1"/>
          <w:color w:val="000000"/>
          <w:rtl w:val="0"/>
        </w:rPr>
        <w:t xml:space="preserve">Les Philosophies hellénistiques</w:t>
      </w:r>
      <w:r w:rsidDel="00000000" w:rsidR="00000000" w:rsidRPr="00000000">
        <w:rPr>
          <w:color w:val="000000"/>
          <w:rtl w:val="0"/>
        </w:rPr>
        <w:t xml:space="preserve">, Livre de Poche Références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/>
      </w:pPr>
      <w:r w:rsidDel="00000000" w:rsidR="00000000" w:rsidRPr="00000000">
        <w:rPr>
          <w:b w:val="1"/>
          <w:i w:val="1"/>
          <w:color w:val="000000"/>
          <w:rtl w:val="0"/>
        </w:rPr>
        <w:t xml:space="preserve">Théâtre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/>
      </w:pPr>
      <w:r w:rsidDel="00000000" w:rsidR="00000000" w:rsidRPr="00000000">
        <w:rPr>
          <w:color w:val="000000"/>
          <w:rtl w:val="0"/>
        </w:rPr>
        <w:t xml:space="preserve">J. de Romilly, </w:t>
      </w:r>
      <w:r w:rsidDel="00000000" w:rsidR="00000000" w:rsidRPr="00000000">
        <w:rPr>
          <w:i w:val="1"/>
          <w:color w:val="000000"/>
          <w:rtl w:val="0"/>
        </w:rPr>
        <w:t xml:space="preserve">La tragédie grecque</w:t>
      </w:r>
      <w:r w:rsidDel="00000000" w:rsidR="00000000" w:rsidRPr="00000000">
        <w:rPr>
          <w:color w:val="000000"/>
          <w:rtl w:val="0"/>
        </w:rPr>
        <w:t xml:space="preserve">, PUF, 2008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color w:val="000000"/>
          <w:rtl w:val="0"/>
        </w:rPr>
        <w:t xml:space="preserve">J. C. Dumont et A. Lebeau, </w:t>
      </w:r>
      <w:r w:rsidDel="00000000" w:rsidR="00000000" w:rsidRPr="00000000">
        <w:rPr>
          <w:i w:val="1"/>
          <w:color w:val="000000"/>
          <w:rtl w:val="0"/>
        </w:rPr>
        <w:t xml:space="preserve">Introduction au théâtre grec antique</w:t>
      </w:r>
      <w:r w:rsidDel="00000000" w:rsidR="00000000" w:rsidRPr="00000000">
        <w:rPr>
          <w:color w:val="000000"/>
          <w:rtl w:val="0"/>
        </w:rPr>
        <w:t xml:space="preserve">, Le Livre de Poche Références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426" w:top="426" w:left="851" w:right="70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95DE2"/>
    <w:pPr>
      <w:spacing w:after="0"/>
      <w:contextualSpacing w:val="1"/>
      <w:jc w:val="both"/>
    </w:pPr>
    <w:rPr>
      <w:rFonts w:ascii="Times New Roman" w:hAnsi="Times New Roman"/>
      <w:sz w:val="24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D7921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D7921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250mqB0JGQNfy1Sl1RkVk7qRYA==">CgMxLjAyDmguZXdldWM5dHpkcHF1OAByITFoOE1HaHIydVdySzFvakVQdHROWTczRVo3T3gwOENKVA==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2024-06-16T19:58:00Z</dcterms:created>
  <dc:creator>Madame DEMANCHE</dc:creator>
</cp:coreProperties>
</file>