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8D7" w:rsidRDefault="005158D7" w:rsidP="005158D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Alegreya" w:eastAsia="Times New Roman" w:hAnsi="Alegreya" w:cs="Times New Roman"/>
          <w:color w:val="212427"/>
          <w:kern w:val="0"/>
          <w:sz w:val="22"/>
          <w:szCs w:val="22"/>
          <w:bdr w:val="single" w:sz="2" w:space="0" w:color="E5E7EB" w:frame="1"/>
          <w:lang w:eastAsia="fr-FR"/>
          <w14:ligatures w14:val="none"/>
        </w:rPr>
      </w:pPr>
    </w:p>
    <w:p w:rsidR="005158D7" w:rsidRPr="00EF07DC" w:rsidRDefault="005158D7" w:rsidP="005158D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jc w:val="center"/>
        <w:rPr>
          <w:rFonts w:ascii="Alegreya" w:eastAsia="Times New Roman" w:hAnsi="Alegreya" w:cs="Times New Roman"/>
          <w:b/>
          <w:bCs/>
          <w:color w:val="212427"/>
          <w:kern w:val="0"/>
          <w:sz w:val="22"/>
          <w:szCs w:val="22"/>
          <w:u w:val="single"/>
          <w:bdr w:val="single" w:sz="2" w:space="0" w:color="E5E7EB" w:frame="1"/>
          <w:lang w:eastAsia="fr-FR"/>
          <w14:ligatures w14:val="none"/>
        </w:rPr>
      </w:pPr>
      <w:r w:rsidRPr="00EF07DC">
        <w:rPr>
          <w:rFonts w:ascii="Alegreya" w:eastAsia="Times New Roman" w:hAnsi="Alegreya" w:cs="Times New Roman"/>
          <w:b/>
          <w:bCs/>
          <w:color w:val="212427"/>
          <w:kern w:val="0"/>
          <w:sz w:val="22"/>
          <w:szCs w:val="22"/>
          <w:u w:val="single"/>
          <w:bdr w:val="single" w:sz="2" w:space="0" w:color="E5E7EB" w:frame="1"/>
          <w:lang w:eastAsia="fr-FR"/>
          <w14:ligatures w14:val="none"/>
        </w:rPr>
        <w:t xml:space="preserve">Nathalie </w:t>
      </w:r>
      <w:proofErr w:type="spellStart"/>
      <w:r w:rsidRPr="00EF07DC">
        <w:rPr>
          <w:rFonts w:ascii="Alegreya" w:eastAsia="Times New Roman" w:hAnsi="Alegreya" w:cs="Times New Roman"/>
          <w:b/>
          <w:bCs/>
          <w:color w:val="212427"/>
          <w:kern w:val="0"/>
          <w:sz w:val="22"/>
          <w:szCs w:val="22"/>
          <w:u w:val="single"/>
          <w:bdr w:val="single" w:sz="2" w:space="0" w:color="E5E7EB" w:frame="1"/>
          <w:lang w:eastAsia="fr-FR"/>
          <w14:ligatures w14:val="none"/>
        </w:rPr>
        <w:t>Heinich</w:t>
      </w:r>
      <w:proofErr w:type="spellEnd"/>
      <w:r w:rsidRPr="00EF07DC">
        <w:rPr>
          <w:rFonts w:ascii="Alegreya" w:eastAsia="Times New Roman" w:hAnsi="Alegreya" w:cs="Times New Roman"/>
          <w:b/>
          <w:bCs/>
          <w:color w:val="212427"/>
          <w:kern w:val="0"/>
          <w:sz w:val="22"/>
          <w:szCs w:val="22"/>
          <w:u w:val="single"/>
          <w:bdr w:val="single" w:sz="2" w:space="0" w:color="E5E7EB" w:frame="1"/>
          <w:lang w:eastAsia="fr-FR"/>
          <w14:ligatures w14:val="none"/>
        </w:rPr>
        <w:t xml:space="preserve">, « Pour une neutralité engagée », </w:t>
      </w:r>
      <w:r w:rsidRPr="00EF07DC">
        <w:rPr>
          <w:rFonts w:ascii="Alegreya" w:eastAsia="Times New Roman" w:hAnsi="Alegreya" w:cs="Times New Roman"/>
          <w:b/>
          <w:bCs/>
          <w:i/>
          <w:iCs/>
          <w:color w:val="212427"/>
          <w:kern w:val="0"/>
          <w:sz w:val="22"/>
          <w:szCs w:val="22"/>
          <w:u w:val="single"/>
          <w:bdr w:val="single" w:sz="2" w:space="0" w:color="E5E7EB" w:frame="1"/>
          <w:lang w:eastAsia="fr-FR"/>
          <w14:ligatures w14:val="none"/>
        </w:rPr>
        <w:t>Questions de communication</w:t>
      </w:r>
      <w:r w:rsidRPr="00EF07DC">
        <w:rPr>
          <w:rFonts w:ascii="Alegreya" w:eastAsia="Times New Roman" w:hAnsi="Alegreya" w:cs="Times New Roman"/>
          <w:b/>
          <w:bCs/>
          <w:color w:val="212427"/>
          <w:kern w:val="0"/>
          <w:sz w:val="22"/>
          <w:szCs w:val="22"/>
          <w:u w:val="single"/>
          <w:bdr w:val="single" w:sz="2" w:space="0" w:color="E5E7EB" w:frame="1"/>
          <w:lang w:eastAsia="fr-FR"/>
          <w14:ligatures w14:val="none"/>
        </w:rPr>
        <w:t xml:space="preserve">, 2002 </w:t>
      </w:r>
    </w:p>
    <w:p w:rsidR="005158D7" w:rsidRPr="005158D7" w:rsidRDefault="005158D7" w:rsidP="005158D7">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jc w:val="both"/>
        <w:rPr>
          <w:rFonts w:ascii="Alegreya" w:eastAsia="Times New Roman" w:hAnsi="Alegreya" w:cs="Times New Roman"/>
          <w:color w:val="212427"/>
          <w:kern w:val="0"/>
          <w:sz w:val="22"/>
          <w:szCs w:val="22"/>
          <w:lang w:eastAsia="fr-FR"/>
          <w14:ligatures w14:val="none"/>
        </w:rPr>
      </w:pPr>
      <w:r w:rsidRPr="005158D7">
        <w:rPr>
          <w:rFonts w:ascii="Alegreya" w:eastAsia="Times New Roman" w:hAnsi="Alegreya" w:cs="Times New Roman"/>
          <w:color w:val="212427"/>
          <w:kern w:val="0"/>
          <w:sz w:val="22"/>
          <w:szCs w:val="22"/>
          <w:bdr w:val="single" w:sz="2" w:space="0" w:color="E5E7EB" w:frame="1"/>
          <w:lang w:eastAsia="fr-FR"/>
          <w14:ligatures w14:val="none"/>
        </w:rPr>
        <w:t>L</w:t>
      </w:r>
      <w:r w:rsidRPr="005158D7">
        <w:rPr>
          <w:rFonts w:ascii="Alegreya" w:eastAsia="Times New Roman" w:hAnsi="Alegreya" w:cs="Times New Roman"/>
          <w:color w:val="212427"/>
          <w:kern w:val="0"/>
          <w:sz w:val="22"/>
          <w:szCs w:val="22"/>
          <w:lang w:eastAsia="fr-FR"/>
          <w14:ligatures w14:val="none"/>
        </w:rPr>
        <w:t>e titre de ma contribution – « Pour une neutralité engagée » – est volontairement paradoxal. Avant de m’en expliquer, j’aimerais proposer un certain nombre de distinctions entre des notions que, me semble-t-il, on a trop tendance à confondre, ce qui rend souvent stériles les débats récurrents sur « l’engagement » des intellectuels. Dans un premier temps, je proposerai de distinguer différentes postures dans ce qu’on a coutume de nommer l</w:t>
      </w:r>
      <w:proofErr w:type="gramStart"/>
      <w:r w:rsidRPr="005158D7">
        <w:rPr>
          <w:rFonts w:ascii="Alegreya" w:eastAsia="Times New Roman" w:hAnsi="Alegreya" w:cs="Times New Roman"/>
          <w:color w:val="212427"/>
          <w:kern w:val="0"/>
          <w:sz w:val="22"/>
          <w:szCs w:val="22"/>
          <w:lang w:eastAsia="fr-FR"/>
          <w14:ligatures w14:val="none"/>
        </w:rPr>
        <w:t>’«</w:t>
      </w:r>
      <w:proofErr w:type="gramEnd"/>
      <w:r w:rsidRPr="005158D7">
        <w:rPr>
          <w:rFonts w:ascii="Alegreya" w:eastAsia="Times New Roman" w:hAnsi="Alegreya" w:cs="Times New Roman"/>
          <w:color w:val="212427"/>
          <w:kern w:val="0"/>
          <w:sz w:val="22"/>
          <w:szCs w:val="22"/>
          <w:lang w:eastAsia="fr-FR"/>
          <w14:ligatures w14:val="none"/>
        </w:rPr>
        <w:t> intellectuel ». Ensuite, je proposerai de distinguer entre différents registres d’énonciation, et entre différents niveaux référentiels de l’énonciation. Enfin, je proposerai de distinguer entre les différents sens attribués à la notion de valeur. Ces distinctions nous permettront de mieux comprendre les résistances auxquelles la question de la neutralité du chercheur se heurte aujourd’hui, et les raisons de l’ambivalence propre à notre milieu face à la question de l’engagement. Enfin, je tâcherai d’illustrer mes propositions par une application concrète à un domaine que j’ai pratiqué : la sociologie de l’art contemporain.</w:t>
      </w:r>
    </w:p>
    <w:p w:rsidR="005158D7" w:rsidRPr="005158D7" w:rsidRDefault="005158D7" w:rsidP="005158D7">
      <w:pPr>
        <w:pBdr>
          <w:top w:val="single" w:sz="2" w:space="0" w:color="E5E7EB"/>
          <w:left w:val="single" w:sz="2" w:space="0" w:color="E5E7EB"/>
          <w:bottom w:val="single" w:sz="2" w:space="0" w:color="E5E7EB"/>
          <w:right w:val="single" w:sz="2" w:space="0" w:color="E5E7EB"/>
        </w:pBdr>
        <w:spacing w:before="100" w:beforeAutospacing="1" w:after="100" w:afterAutospacing="1"/>
        <w:jc w:val="both"/>
        <w:outlineLvl w:val="0"/>
        <w:rPr>
          <w:rFonts w:ascii="Times New Roman" w:eastAsia="Times New Roman" w:hAnsi="Times New Roman" w:cs="Times New Roman"/>
          <w:b/>
          <w:bCs/>
          <w:kern w:val="36"/>
          <w:sz w:val="22"/>
          <w:szCs w:val="22"/>
          <w:lang w:eastAsia="fr-FR"/>
          <w14:ligatures w14:val="none"/>
        </w:rPr>
      </w:pPr>
      <w:r w:rsidRPr="005158D7">
        <w:rPr>
          <w:rFonts w:ascii="Times New Roman" w:eastAsia="Times New Roman" w:hAnsi="Times New Roman" w:cs="Times New Roman"/>
          <w:b/>
          <w:bCs/>
          <w:kern w:val="36"/>
          <w:sz w:val="22"/>
          <w:szCs w:val="22"/>
          <w:lang w:eastAsia="fr-FR"/>
          <w14:ligatures w14:val="none"/>
        </w:rPr>
        <w:t>Distinctions</w:t>
      </w:r>
    </w:p>
    <w:p w:rsidR="005158D7" w:rsidRPr="005158D7" w:rsidRDefault="005158D7" w:rsidP="005158D7">
      <w:pPr>
        <w:pBdr>
          <w:top w:val="single" w:sz="2" w:space="0" w:color="E5E7EB"/>
          <w:left w:val="single" w:sz="2" w:space="0" w:color="E5E7EB"/>
          <w:bottom w:val="single" w:sz="2" w:space="0" w:color="E5E7EB"/>
          <w:right w:val="single" w:sz="2" w:space="0" w:color="E5E7EB"/>
        </w:pBdr>
        <w:spacing w:before="100" w:beforeAutospacing="1" w:after="100" w:afterAutospacing="1"/>
        <w:jc w:val="both"/>
        <w:rPr>
          <w:rFonts w:ascii="Times New Roman" w:eastAsia="Times New Roman" w:hAnsi="Times New Roman" w:cs="Times New Roman"/>
          <w:kern w:val="0"/>
          <w:sz w:val="22"/>
          <w:szCs w:val="22"/>
          <w:lang w:eastAsia="fr-FR"/>
          <w14:ligatures w14:val="none"/>
        </w:rPr>
      </w:pPr>
      <w:r w:rsidRPr="005158D7">
        <w:rPr>
          <w:rFonts w:ascii="Times New Roman" w:eastAsia="Times New Roman" w:hAnsi="Times New Roman" w:cs="Times New Roman"/>
          <w:kern w:val="0"/>
          <w:sz w:val="22"/>
          <w:szCs w:val="22"/>
          <w:lang w:eastAsia="fr-FR"/>
          <w14:ligatures w14:val="none"/>
        </w:rPr>
        <w:t>Je n’aime pas beaucoup le qualificatif d</w:t>
      </w:r>
      <w:proofErr w:type="gramStart"/>
      <w:r w:rsidRPr="005158D7">
        <w:rPr>
          <w:rFonts w:ascii="Times New Roman" w:eastAsia="Times New Roman" w:hAnsi="Times New Roman" w:cs="Times New Roman"/>
          <w:kern w:val="0"/>
          <w:sz w:val="22"/>
          <w:szCs w:val="22"/>
          <w:lang w:eastAsia="fr-FR"/>
          <w14:ligatures w14:val="none"/>
        </w:rPr>
        <w:t>’«</w:t>
      </w:r>
      <w:proofErr w:type="gramEnd"/>
      <w:r w:rsidRPr="005158D7">
        <w:rPr>
          <w:rFonts w:ascii="Times New Roman" w:eastAsia="Times New Roman" w:hAnsi="Times New Roman" w:cs="Times New Roman"/>
          <w:kern w:val="0"/>
          <w:sz w:val="22"/>
          <w:szCs w:val="22"/>
          <w:lang w:eastAsia="fr-FR"/>
          <w14:ligatures w14:val="none"/>
        </w:rPr>
        <w:t> intellectuel » : non pas par anti-intellectualisme, mais parce que ce qualificatif a le double inconvénient de fonctionner souvent, dans nos milieux, comme un titre de noblesse plutôt que comme un descriptif, et de recouvrir, en les confondant, des fonctions fort différentes. C’est pourquoi je préfère dire que je suis « sociologue », ce qui a, au moins, le mérite d’être plus précis –, mais ce que je vais développer vaut pour n’importe quel autre type de spécialisation.</w:t>
      </w:r>
    </w:p>
    <w:p w:rsidR="005158D7" w:rsidRPr="005158D7" w:rsidRDefault="005158D7" w:rsidP="005158D7">
      <w:pPr>
        <w:pBdr>
          <w:top w:val="single" w:sz="2" w:space="0" w:color="E5E7EB"/>
          <w:left w:val="single" w:sz="2" w:space="0" w:color="E5E7EB"/>
          <w:bottom w:val="single" w:sz="2" w:space="0" w:color="E5E7EB"/>
          <w:right w:val="single" w:sz="2" w:space="0" w:color="E5E7EB"/>
        </w:pBdr>
        <w:spacing w:before="100" w:beforeAutospacing="1" w:after="100" w:afterAutospacing="1"/>
        <w:jc w:val="both"/>
        <w:rPr>
          <w:rFonts w:ascii="Times New Roman" w:eastAsia="Times New Roman" w:hAnsi="Times New Roman" w:cs="Times New Roman"/>
          <w:kern w:val="0"/>
          <w:sz w:val="22"/>
          <w:szCs w:val="22"/>
          <w:lang w:eastAsia="fr-FR"/>
          <w14:ligatures w14:val="none"/>
        </w:rPr>
      </w:pPr>
      <w:r w:rsidRPr="005158D7">
        <w:rPr>
          <w:rFonts w:ascii="Times New Roman" w:eastAsia="Times New Roman" w:hAnsi="Times New Roman" w:cs="Times New Roman"/>
          <w:kern w:val="0"/>
          <w:sz w:val="22"/>
          <w:szCs w:val="22"/>
          <w:lang w:eastAsia="fr-FR"/>
          <w14:ligatures w14:val="none"/>
        </w:rPr>
        <w:t xml:space="preserve">Premièrement, on peut être « sociologue » (ou économiste, ou historien </w:t>
      </w:r>
      <w:proofErr w:type="gramStart"/>
      <w:r w:rsidRPr="005158D7">
        <w:rPr>
          <w:rFonts w:ascii="Times New Roman" w:eastAsia="Times New Roman" w:hAnsi="Times New Roman" w:cs="Times New Roman"/>
          <w:kern w:val="0"/>
          <w:sz w:val="22"/>
          <w:szCs w:val="22"/>
          <w:lang w:eastAsia="fr-FR"/>
          <w14:ligatures w14:val="none"/>
        </w:rPr>
        <w:t>etc. )</w:t>
      </w:r>
      <w:proofErr w:type="gramEnd"/>
      <w:r w:rsidRPr="005158D7">
        <w:rPr>
          <w:rFonts w:ascii="Times New Roman" w:eastAsia="Times New Roman" w:hAnsi="Times New Roman" w:cs="Times New Roman"/>
          <w:kern w:val="0"/>
          <w:sz w:val="22"/>
          <w:szCs w:val="22"/>
          <w:lang w:eastAsia="fr-FR"/>
          <w14:ligatures w14:val="none"/>
        </w:rPr>
        <w:t xml:space="preserve"> en étant un chercheur : son rôle est de comprendre et d’expliquer le monde social, grâce à des méthodes spécifiques. Deuxièmement, on peut être sociologue en étant expert : il s’agit alors d’utiliser la connaissance qu’on a d’un domaine pour répondre à des demandes pratiques, aider à la décision, poser des diagnostics de dysfonctionnement, prescrire des solutions conformes aux objectifs qui lui sont présentés. Troisièmement, on peut être sociologue en étant « penseur », c’est-à-dire en tâchant de justifier ou de critiquer une situation au nom de certaines valeurs, comme pourrait le faire n’importe quel citoyen engagé, à la différence qu’on dispose d’une capacité de réflexion et, parfois, </w:t>
      </w:r>
      <w:proofErr w:type="gramStart"/>
      <w:r w:rsidRPr="005158D7">
        <w:rPr>
          <w:rFonts w:ascii="Times New Roman" w:eastAsia="Times New Roman" w:hAnsi="Times New Roman" w:cs="Times New Roman"/>
          <w:kern w:val="0"/>
          <w:sz w:val="22"/>
          <w:szCs w:val="22"/>
          <w:lang w:eastAsia="fr-FR"/>
          <w14:ligatures w14:val="none"/>
        </w:rPr>
        <w:t>d’une notoriété propres</w:t>
      </w:r>
      <w:proofErr w:type="gramEnd"/>
      <w:r w:rsidRPr="005158D7">
        <w:rPr>
          <w:rFonts w:ascii="Times New Roman" w:eastAsia="Times New Roman" w:hAnsi="Times New Roman" w:cs="Times New Roman"/>
          <w:kern w:val="0"/>
          <w:sz w:val="22"/>
          <w:szCs w:val="22"/>
          <w:lang w:eastAsia="fr-FR"/>
          <w14:ligatures w14:val="none"/>
        </w:rPr>
        <w:t xml:space="preserve"> à accroître l’efficacité des prises de position. C’est cette dernière fonction – la plus visible, car la plus susceptible d’apparaître dans l’espace public, grâce aux médias – qu’on vise le plus souvent par le qualificatif d</w:t>
      </w:r>
      <w:proofErr w:type="gramStart"/>
      <w:r w:rsidRPr="005158D7">
        <w:rPr>
          <w:rFonts w:ascii="Times New Roman" w:eastAsia="Times New Roman" w:hAnsi="Times New Roman" w:cs="Times New Roman"/>
          <w:kern w:val="0"/>
          <w:sz w:val="22"/>
          <w:szCs w:val="22"/>
          <w:lang w:eastAsia="fr-FR"/>
          <w14:ligatures w14:val="none"/>
        </w:rPr>
        <w:t>’«</w:t>
      </w:r>
      <w:proofErr w:type="gramEnd"/>
      <w:r w:rsidRPr="005158D7">
        <w:rPr>
          <w:rFonts w:ascii="Times New Roman" w:eastAsia="Times New Roman" w:hAnsi="Times New Roman" w:cs="Times New Roman"/>
          <w:kern w:val="0"/>
          <w:sz w:val="22"/>
          <w:szCs w:val="22"/>
          <w:lang w:eastAsia="fr-FR"/>
          <w14:ligatures w14:val="none"/>
        </w:rPr>
        <w:t> intellectuel ».</w:t>
      </w:r>
    </w:p>
    <w:p w:rsidR="005158D7" w:rsidRPr="005158D7" w:rsidRDefault="005158D7" w:rsidP="005158D7">
      <w:pPr>
        <w:pBdr>
          <w:top w:val="single" w:sz="2" w:space="0" w:color="E5E7EB"/>
          <w:left w:val="single" w:sz="2" w:space="0" w:color="E5E7EB"/>
          <w:bottom w:val="single" w:sz="2" w:space="0" w:color="E5E7EB"/>
          <w:right w:val="single" w:sz="2" w:space="0" w:color="E5E7EB"/>
        </w:pBdr>
        <w:spacing w:before="100" w:beforeAutospacing="1" w:after="100" w:afterAutospacing="1"/>
        <w:jc w:val="both"/>
        <w:rPr>
          <w:rFonts w:ascii="Times New Roman" w:eastAsia="Times New Roman" w:hAnsi="Times New Roman" w:cs="Times New Roman"/>
          <w:kern w:val="0"/>
          <w:sz w:val="22"/>
          <w:szCs w:val="22"/>
          <w:lang w:eastAsia="fr-FR"/>
          <w14:ligatures w14:val="none"/>
        </w:rPr>
      </w:pPr>
      <w:r w:rsidRPr="005158D7">
        <w:rPr>
          <w:rFonts w:ascii="Times New Roman" w:eastAsia="Times New Roman" w:hAnsi="Times New Roman" w:cs="Times New Roman"/>
          <w:kern w:val="0"/>
          <w:sz w:val="22"/>
          <w:szCs w:val="22"/>
          <w:lang w:eastAsia="fr-FR"/>
          <w14:ligatures w14:val="none"/>
        </w:rPr>
        <w:t>Certes, ces différentes modalités d’intervention au nom d’une compétence intellectuelle sont souvent réunies en une même personne ; mais ce ne sont pas moins des postures de discours différentes, ne s’adressant pas aux mêmes publics (les pairs, les décideurs, l’opinion publique), ne se donnant pas les mêmes objectifs (le savoir, l’action, la discussion), ne passant pas par les mêmes ressources rhétoriques (la démonstration, le conseil, la persuasion). Ces postures sont différentes et, surtout, elles exigent d’être différenciées, d’abord et avant tout par le sociologue lui-même, s’il veut éviter ces deux écueils opposés que sont soit l’abus de pouvoir (utiliser une compétence scientifique pour faire passer des convictions politiques), soit l’irresponsabilité (se désintéresser des usages normatifs qui peuvent être faits de ses analyses). Donc, non seulement, elles exigent d’être différenciées par le chercheur/ expert/penseur, mais aussi d’être explicitées par lui lorsqu’il intervient, en précisant bien si c’est au nom d’un savoir acquis, au nom d’une connaissance pratique d’un problème, ou au nom de convictions constituées indépendamment du domaine en question.</w:t>
      </w:r>
    </w:p>
    <w:p w:rsidR="005158D7" w:rsidRPr="005158D7" w:rsidRDefault="005158D7" w:rsidP="005158D7">
      <w:pPr>
        <w:pBdr>
          <w:top w:val="single" w:sz="2" w:space="0" w:color="E5E7EB"/>
          <w:left w:val="single" w:sz="2" w:space="0" w:color="E5E7EB"/>
          <w:bottom w:val="single" w:sz="2" w:space="0" w:color="E5E7EB"/>
          <w:right w:val="single" w:sz="2" w:space="0" w:color="E5E7EB"/>
        </w:pBdr>
        <w:spacing w:before="100" w:beforeAutospacing="1" w:after="100" w:afterAutospacing="1"/>
        <w:jc w:val="both"/>
        <w:rPr>
          <w:rFonts w:ascii="Times New Roman" w:eastAsia="Times New Roman" w:hAnsi="Times New Roman" w:cs="Times New Roman"/>
          <w:kern w:val="0"/>
          <w:sz w:val="22"/>
          <w:szCs w:val="22"/>
          <w:lang w:eastAsia="fr-FR"/>
          <w14:ligatures w14:val="none"/>
        </w:rPr>
      </w:pPr>
      <w:r w:rsidRPr="005158D7">
        <w:rPr>
          <w:rFonts w:ascii="Times New Roman" w:eastAsia="Times New Roman" w:hAnsi="Times New Roman" w:cs="Times New Roman"/>
          <w:kern w:val="0"/>
          <w:sz w:val="22"/>
          <w:szCs w:val="22"/>
          <w:lang w:eastAsia="fr-FR"/>
          <w14:ligatures w14:val="none"/>
        </w:rPr>
        <w:t xml:space="preserve">Parallèlement à cette nécessaire différenciation entre la posture du chercheur, de l’expert et du penseur, une deuxième catégorie de distinctions me paraît indispensable : celle entre jugements de faits et jugements de valeurs. Ou plutôt – car les constructivistes intégristes nieront immédiatement qu’il puisse y avoir des « faits » qui ne soient pas entièrement modelés par des « valeurs » – entre ce que Gilbert </w:t>
      </w:r>
      <w:proofErr w:type="spellStart"/>
      <w:r w:rsidRPr="005158D7">
        <w:rPr>
          <w:rFonts w:ascii="Times New Roman" w:eastAsia="Times New Roman" w:hAnsi="Times New Roman" w:cs="Times New Roman"/>
          <w:kern w:val="0"/>
          <w:sz w:val="22"/>
          <w:szCs w:val="22"/>
          <w:lang w:eastAsia="fr-FR"/>
          <w14:ligatures w14:val="none"/>
        </w:rPr>
        <w:t>Dispaux</w:t>
      </w:r>
      <w:proofErr w:type="spellEnd"/>
      <w:r w:rsidRPr="005158D7">
        <w:rPr>
          <w:rFonts w:ascii="Times New Roman" w:eastAsia="Times New Roman" w:hAnsi="Times New Roman" w:cs="Times New Roman"/>
          <w:kern w:val="0"/>
          <w:sz w:val="22"/>
          <w:szCs w:val="22"/>
          <w:lang w:eastAsia="fr-FR"/>
          <w14:ligatures w14:val="none"/>
        </w:rPr>
        <w:t xml:space="preserve"> nommait, dans son livre trop ignoré </w:t>
      </w:r>
      <w:r w:rsidRPr="005158D7">
        <w:rPr>
          <w:rFonts w:ascii="Times New Roman" w:eastAsia="Times New Roman" w:hAnsi="Times New Roman" w:cs="Times New Roman"/>
          <w:i/>
          <w:iCs/>
          <w:kern w:val="0"/>
          <w:sz w:val="22"/>
          <w:szCs w:val="22"/>
          <w:bdr w:val="single" w:sz="2" w:space="0" w:color="E5E7EB" w:frame="1"/>
          <w:lang w:eastAsia="fr-FR"/>
          <w14:ligatures w14:val="none"/>
        </w:rPr>
        <w:t>La logique et le quotidien </w:t>
      </w:r>
      <w:r w:rsidRPr="005158D7">
        <w:rPr>
          <w:rFonts w:ascii="Times New Roman" w:eastAsia="Times New Roman" w:hAnsi="Times New Roman" w:cs="Times New Roman"/>
          <w:kern w:val="0"/>
          <w:sz w:val="22"/>
          <w:szCs w:val="22"/>
          <w:lang w:eastAsia="fr-FR"/>
          <w14:ligatures w14:val="none"/>
        </w:rPr>
        <w:t xml:space="preserve">(1984), jugements de descripteur et jugements d’évaluateur, à quoi s’ajoutent les jugements de prescripteur. Décrire un objet, le soumettre à une évaluation, prescrire une action à son propos : Gilbert </w:t>
      </w:r>
      <w:proofErr w:type="spellStart"/>
      <w:r w:rsidRPr="005158D7">
        <w:rPr>
          <w:rFonts w:ascii="Times New Roman" w:eastAsia="Times New Roman" w:hAnsi="Times New Roman" w:cs="Times New Roman"/>
          <w:kern w:val="0"/>
          <w:sz w:val="22"/>
          <w:szCs w:val="22"/>
          <w:lang w:eastAsia="fr-FR"/>
          <w14:ligatures w14:val="none"/>
        </w:rPr>
        <w:t>Dispaux</w:t>
      </w:r>
      <w:proofErr w:type="spellEnd"/>
      <w:r w:rsidRPr="005158D7">
        <w:rPr>
          <w:rFonts w:ascii="Times New Roman" w:eastAsia="Times New Roman" w:hAnsi="Times New Roman" w:cs="Times New Roman"/>
          <w:kern w:val="0"/>
          <w:sz w:val="22"/>
          <w:szCs w:val="22"/>
          <w:lang w:eastAsia="fr-FR"/>
          <w14:ligatures w14:val="none"/>
        </w:rPr>
        <w:t xml:space="preserve"> montre bien comment ces trois fonctions du discours diffèrent tant dans leurs règles formelles que dans leurs usages pragmatiques. Dire que cette table est rectangulaire, affirmer qu’elle est laide et suggérer qu’on l’envoie à la cave, ne sont pas des énonciations de même niveau, ne serait-ce que parce qu’elles ne répondent pas aux mêmes « conditions de félicité » et n’appellent pas les mêmes catégories de vérifications et de contradictions : usage d’un instrument de mesure pour la description du </w:t>
      </w:r>
      <w:r w:rsidRPr="005158D7">
        <w:rPr>
          <w:rFonts w:ascii="Times New Roman" w:eastAsia="Times New Roman" w:hAnsi="Times New Roman" w:cs="Times New Roman"/>
          <w:kern w:val="0"/>
          <w:sz w:val="22"/>
          <w:szCs w:val="22"/>
          <w:lang w:eastAsia="fr-FR"/>
          <w14:ligatures w14:val="none"/>
        </w:rPr>
        <w:lastRenderedPageBreak/>
        <w:t>format, discussions sur les critères esthétiques pour l’évaluation de sa beauté, mise en œuvre d’un « acte illocutoire » pour l’ordre donné – ou pas – de la remiser dans les réserves.</w:t>
      </w:r>
    </w:p>
    <w:p w:rsidR="005158D7" w:rsidRPr="005158D7" w:rsidRDefault="005158D7" w:rsidP="005158D7">
      <w:pPr>
        <w:pBdr>
          <w:top w:val="single" w:sz="2" w:space="0" w:color="E5E7EB"/>
          <w:left w:val="single" w:sz="2" w:space="0" w:color="E5E7EB"/>
          <w:bottom w:val="single" w:sz="2" w:space="0" w:color="E5E7EB"/>
          <w:right w:val="single" w:sz="2" w:space="0" w:color="E5E7EB"/>
        </w:pBdr>
        <w:spacing w:before="100" w:beforeAutospacing="1" w:after="100" w:afterAutospacing="1"/>
        <w:jc w:val="both"/>
        <w:rPr>
          <w:rFonts w:ascii="Times New Roman" w:eastAsia="Times New Roman" w:hAnsi="Times New Roman" w:cs="Times New Roman"/>
          <w:kern w:val="0"/>
          <w:sz w:val="22"/>
          <w:szCs w:val="22"/>
          <w:lang w:eastAsia="fr-FR"/>
          <w14:ligatures w14:val="none"/>
        </w:rPr>
      </w:pPr>
      <w:r w:rsidRPr="005158D7">
        <w:rPr>
          <w:rFonts w:ascii="Times New Roman" w:eastAsia="Times New Roman" w:hAnsi="Times New Roman" w:cs="Times New Roman"/>
          <w:kern w:val="0"/>
          <w:sz w:val="22"/>
          <w:szCs w:val="22"/>
          <w:lang w:eastAsia="fr-FR"/>
          <w14:ligatures w14:val="none"/>
        </w:rPr>
        <w:t xml:space="preserve">De mon point de vue, seul le registre descriptif – ou, à un stade plus sophistiqué, </w:t>
      </w:r>
      <w:proofErr w:type="spellStart"/>
      <w:r w:rsidRPr="005158D7">
        <w:rPr>
          <w:rFonts w:ascii="Times New Roman" w:eastAsia="Times New Roman" w:hAnsi="Times New Roman" w:cs="Times New Roman"/>
          <w:kern w:val="0"/>
          <w:sz w:val="22"/>
          <w:szCs w:val="22"/>
          <w:lang w:eastAsia="fr-FR"/>
          <w14:ligatures w14:val="none"/>
        </w:rPr>
        <w:t>analytico</w:t>
      </w:r>
      <w:proofErr w:type="spellEnd"/>
      <w:r w:rsidRPr="005158D7">
        <w:rPr>
          <w:rFonts w:ascii="Times New Roman" w:eastAsia="Times New Roman" w:hAnsi="Times New Roman" w:cs="Times New Roman"/>
          <w:kern w:val="0"/>
          <w:sz w:val="22"/>
          <w:szCs w:val="22"/>
          <w:lang w:eastAsia="fr-FR"/>
          <w14:ligatures w14:val="none"/>
        </w:rPr>
        <w:t xml:space="preserve">-descriptif – est spécifiquement celui du chercheur, alors que les registres évaluatif et prescriptif relèvent d’une normativité qui est du ressort soit de l’expert, soit du penseur, selon le type et le degré de spécialisation de la compétence. Voilà qui permet de donner un fondement un peu plus précis à l’impératif </w:t>
      </w:r>
      <w:proofErr w:type="spellStart"/>
      <w:r w:rsidRPr="005158D7">
        <w:rPr>
          <w:rFonts w:ascii="Times New Roman" w:eastAsia="Times New Roman" w:hAnsi="Times New Roman" w:cs="Times New Roman"/>
          <w:kern w:val="0"/>
          <w:sz w:val="22"/>
          <w:szCs w:val="22"/>
          <w:lang w:eastAsia="fr-FR"/>
          <w14:ligatures w14:val="none"/>
        </w:rPr>
        <w:t>weberien</w:t>
      </w:r>
      <w:proofErr w:type="spellEnd"/>
      <w:r w:rsidRPr="005158D7">
        <w:rPr>
          <w:rFonts w:ascii="Times New Roman" w:eastAsia="Times New Roman" w:hAnsi="Times New Roman" w:cs="Times New Roman"/>
          <w:kern w:val="0"/>
          <w:sz w:val="22"/>
          <w:szCs w:val="22"/>
          <w:lang w:eastAsia="fr-FR"/>
          <w14:ligatures w14:val="none"/>
        </w:rPr>
        <w:t xml:space="preserve"> de « suspension du jugement de valeur » : il s’agit simplement que le chercheur, lorsqu’il intervient en tant que tel, s’interdise les registres évaluatif et prescriptif, en s’en tenant au registre </w:t>
      </w:r>
      <w:proofErr w:type="spellStart"/>
      <w:r w:rsidRPr="005158D7">
        <w:rPr>
          <w:rFonts w:ascii="Times New Roman" w:eastAsia="Times New Roman" w:hAnsi="Times New Roman" w:cs="Times New Roman"/>
          <w:kern w:val="0"/>
          <w:sz w:val="22"/>
          <w:szCs w:val="22"/>
          <w:lang w:eastAsia="fr-FR"/>
          <w14:ligatures w14:val="none"/>
        </w:rPr>
        <w:t>analytico</w:t>
      </w:r>
      <w:proofErr w:type="spellEnd"/>
      <w:r w:rsidRPr="005158D7">
        <w:rPr>
          <w:rFonts w:ascii="Times New Roman" w:eastAsia="Times New Roman" w:hAnsi="Times New Roman" w:cs="Times New Roman"/>
          <w:kern w:val="0"/>
          <w:sz w:val="22"/>
          <w:szCs w:val="22"/>
          <w:lang w:eastAsia="fr-FR"/>
          <w14:ligatures w14:val="none"/>
        </w:rPr>
        <w:t>-descriptif. Et cela ne concerne nullement, bien sûr, le citoyen ordinaire (que le chercheur peut fort bien redevenir à l’occasion), mais seulement le chercheur en situation professionnelle.</w:t>
      </w:r>
    </w:p>
    <w:p w:rsidR="005158D7" w:rsidRPr="005158D7" w:rsidRDefault="005158D7" w:rsidP="00EF07DC">
      <w:pPr>
        <w:pBdr>
          <w:top w:val="single" w:sz="2" w:space="0" w:color="E5E7EB"/>
          <w:left w:val="single" w:sz="2" w:space="0" w:color="E5E7EB"/>
          <w:bottom w:val="single" w:sz="2" w:space="0" w:color="E5E7EB"/>
          <w:right w:val="single" w:sz="2" w:space="0" w:color="E5E7EB"/>
        </w:pBdr>
        <w:spacing w:before="100" w:beforeAutospacing="1" w:after="100" w:afterAutospacing="1"/>
        <w:ind w:hanging="142"/>
        <w:jc w:val="both"/>
        <w:rPr>
          <w:rFonts w:ascii="Times New Roman" w:eastAsia="Times New Roman" w:hAnsi="Times New Roman" w:cs="Times New Roman"/>
          <w:kern w:val="0"/>
          <w:sz w:val="22"/>
          <w:szCs w:val="22"/>
          <w:lang w:eastAsia="fr-FR"/>
          <w14:ligatures w14:val="none"/>
        </w:rPr>
      </w:pPr>
      <w:r w:rsidRPr="005158D7">
        <w:rPr>
          <w:rFonts w:ascii="Times New Roman" w:eastAsia="Times New Roman" w:hAnsi="Times New Roman" w:cs="Times New Roman"/>
          <w:kern w:val="0"/>
          <w:sz w:val="22"/>
          <w:szCs w:val="22"/>
          <w:lang w:eastAsia="fr-FR"/>
          <w14:ligatures w14:val="none"/>
        </w:rPr>
        <w:t>Certes, on objectera aussitôt que ma proposition est auto-contradictoire, puisqu’elle comporte un jugement de valeur assorti d’une prescription. Il faut donc opérer une troisième distinction pour éviter les sophismes : la distinction entre niveaux référentiels, autrement dit entre une énonciation faite au niveau de l’expérience commune (portant sur les objets qui agitent les acteurs) et une énonciation faite au niveau épistémique (portant sur les concepts et les méthodes grâce auxquels les chercheurs enquêtent sur l’expérience commune). Autant les débats sont nécessaires entre chercheurs concernant la qualité des outils scientifiques, autant ces mêmes chercheurs n’ont pas à débattre des valeurs propres aux acteurs qu’ils étudient – du moins tant qu’ils restent en position de chercheur. Je reprécise donc ma proposition : la suspension du jugement de valeur est une prescription épistémique (portant sur les moyens de la recherche), non une prescription axiologique (portant sur les objets de la recherche). La première est légitime entre chercheurs, la seconde est légitime entre acteurs. Mais un chercheur qui s’autoriserait de sa science pour trancher entre des valeurs dans l’arène morale ou politique commettrait un abus de pouvoir ; et un acteur qui s’autoriserait de ses opinions pour intervenir dans un débat sur la qualité des outils de recherche commettrait un abus d’incompétence – ou, en termes plus fleuris, une connerie.</w:t>
      </w:r>
    </w:p>
    <w:p w:rsidR="005158D7" w:rsidRPr="005158D7" w:rsidRDefault="005158D7" w:rsidP="00EF07DC">
      <w:pPr>
        <w:pBdr>
          <w:top w:val="single" w:sz="2" w:space="0" w:color="E5E7EB"/>
          <w:left w:val="single" w:sz="2" w:space="0" w:color="E5E7EB"/>
          <w:bottom w:val="single" w:sz="2" w:space="0" w:color="E5E7EB"/>
          <w:right w:val="single" w:sz="2" w:space="0" w:color="E5E7EB"/>
        </w:pBdr>
        <w:spacing w:before="100" w:beforeAutospacing="1" w:after="100" w:afterAutospacing="1"/>
        <w:ind w:hanging="142"/>
        <w:jc w:val="both"/>
        <w:rPr>
          <w:rFonts w:ascii="Times New Roman" w:eastAsia="Times New Roman" w:hAnsi="Times New Roman" w:cs="Times New Roman"/>
          <w:kern w:val="0"/>
          <w:sz w:val="22"/>
          <w:szCs w:val="22"/>
          <w:lang w:eastAsia="fr-FR"/>
          <w14:ligatures w14:val="none"/>
        </w:rPr>
      </w:pPr>
      <w:r w:rsidRPr="005158D7">
        <w:rPr>
          <w:rFonts w:ascii="Times New Roman" w:eastAsia="Times New Roman" w:hAnsi="Times New Roman" w:cs="Times New Roman"/>
          <w:kern w:val="0"/>
          <w:sz w:val="22"/>
          <w:szCs w:val="22"/>
          <w:lang w:eastAsia="fr-FR"/>
          <w14:ligatures w14:val="none"/>
        </w:rPr>
        <w:t>À ce stade, une quatrième distinction est nécessaire pour achever de clarifier la question de l’engagement : la distinction entre deux façons de définir la « valeur ». Par ce terme, il me semble que Weber (1919) entendait ce que Durkheim (1911), de son côté, nommait « jugements de valeur », autrement dit des énoncés portant explicitement sur des normes collectives – ce qui est bien ou mal, juste ou injuste, beau ou laid, etc. Malheureusement, on tend trop souvent à étendre ce terme de « valeurs » à un sens beaucoup plus large, qui en vient à signifier les « marqueurs » de toutes sortes : vocabulaire, </w:t>
      </w:r>
      <w:r w:rsidRPr="005158D7">
        <w:rPr>
          <w:rFonts w:ascii="Times New Roman" w:eastAsia="Times New Roman" w:hAnsi="Times New Roman" w:cs="Times New Roman"/>
          <w:i/>
          <w:iCs/>
          <w:kern w:val="0"/>
          <w:sz w:val="22"/>
          <w:szCs w:val="22"/>
          <w:bdr w:val="single" w:sz="2" w:space="0" w:color="E5E7EB" w:frame="1"/>
          <w:lang w:eastAsia="fr-FR"/>
          <w14:ligatures w14:val="none"/>
        </w:rPr>
        <w:t>habitus</w:t>
      </w:r>
      <w:r w:rsidRPr="005158D7">
        <w:rPr>
          <w:rFonts w:ascii="Times New Roman" w:eastAsia="Times New Roman" w:hAnsi="Times New Roman" w:cs="Times New Roman"/>
          <w:kern w:val="0"/>
          <w:sz w:val="22"/>
          <w:szCs w:val="22"/>
          <w:lang w:eastAsia="fr-FR"/>
          <w14:ligatures w14:val="none"/>
        </w:rPr>
        <w:t>, façon de poser la voix, usage de la proxémie, etc. « Vous ne pouvez pas, de toutes façons, être axiologiquement neutre, m’ont parfois répondu des collègues sociologues, parce que votre façon même de vous présenter trahit votre appartenance de classe, etc. ». Certes, mais il y a, à mon sens, une différence entre manifester implicitement une position dans l’espace social, et exprimer explicitement sa préférence pour telle ou telle opinion dans le cadre d’un entretien, surtout si celui-ci porte justement sur les opinions de la personne interrogée. Et si certains de mes collègues ne font pas la différence entre ces deux niveaux de « rapports aux valeurs », c’est que, probablement, la question des valeurs ne les intéresse pas beaucoup. Ce qui leur donne au moins le droit de se taire sur ce sujet sensible.</w:t>
      </w:r>
    </w:p>
    <w:p w:rsidR="00B55B8E" w:rsidRDefault="00B55B8E" w:rsidP="005158D7">
      <w:pPr>
        <w:jc w:val="both"/>
      </w:pPr>
    </w:p>
    <w:sectPr w:rsidR="00B55B8E" w:rsidSect="00EF07DC">
      <w:pgSz w:w="11900" w:h="16840"/>
      <w:pgMar w:top="1417" w:right="702" w:bottom="1417" w:left="70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grey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D7"/>
    <w:rsid w:val="00103080"/>
    <w:rsid w:val="003E5CD4"/>
    <w:rsid w:val="005158D7"/>
    <w:rsid w:val="006275BB"/>
    <w:rsid w:val="00B55B8E"/>
    <w:rsid w:val="00C227BD"/>
    <w:rsid w:val="00EF0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4CC629C-4E06-AE4E-81C1-E4A9F97F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58D7"/>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58D7"/>
    <w:rPr>
      <w:rFonts w:ascii="Times New Roman" w:eastAsia="Times New Roman" w:hAnsi="Times New Roman" w:cs="Times New Roman"/>
      <w:b/>
      <w:bCs/>
      <w:kern w:val="36"/>
      <w:sz w:val="48"/>
      <w:szCs w:val="48"/>
      <w:lang w:eastAsia="fr-FR"/>
      <w14:ligatures w14:val="none"/>
    </w:rPr>
  </w:style>
  <w:style w:type="paragraph" w:customStyle="1" w:styleId="para">
    <w:name w:val="para"/>
    <w:basedOn w:val="Normal"/>
    <w:rsid w:val="005158D7"/>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lettrine">
    <w:name w:val="lettrine"/>
    <w:basedOn w:val="Policepardfaut"/>
    <w:rsid w:val="005158D7"/>
  </w:style>
  <w:style w:type="character" w:styleId="Lienhypertexte">
    <w:name w:val="Hyperlink"/>
    <w:basedOn w:val="Policepardfaut"/>
    <w:uiPriority w:val="99"/>
    <w:semiHidden/>
    <w:unhideWhenUsed/>
    <w:rsid w:val="005158D7"/>
    <w:rPr>
      <w:color w:val="0000FF"/>
      <w:u w:val="single"/>
    </w:rPr>
  </w:style>
  <w:style w:type="character" w:styleId="Accentuation">
    <w:name w:val="Emphasis"/>
    <w:basedOn w:val="Policepardfaut"/>
    <w:uiPriority w:val="20"/>
    <w:qFormat/>
    <w:rsid w:val="005158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81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1382</Words>
  <Characters>7605</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Zemmour</dc:creator>
  <cp:keywords/>
  <dc:description/>
  <cp:lastModifiedBy>Emmanuel Zemmour</cp:lastModifiedBy>
  <cp:revision>2</cp:revision>
  <dcterms:created xsi:type="dcterms:W3CDTF">2025-11-08T13:56:00Z</dcterms:created>
  <dcterms:modified xsi:type="dcterms:W3CDTF">2025-11-18T15:01:00Z</dcterms:modified>
</cp:coreProperties>
</file>