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71E9" w14:textId="4E212825" w:rsidR="00981E6E" w:rsidRDefault="00981E6E" w:rsidP="00935770">
      <w:pPr>
        <w:spacing w:after="0"/>
        <w:ind w:firstLine="567"/>
        <w:jc w:val="both"/>
        <w:rPr>
          <w:rFonts w:ascii="Times New Roman" w:hAnsi="Times New Roman" w:cs="Times New Roman"/>
        </w:rPr>
      </w:pPr>
      <w:r>
        <w:rPr>
          <w:rFonts w:ascii="Times New Roman" w:hAnsi="Times New Roman" w:cs="Times New Roman"/>
        </w:rPr>
        <w:t>Histoire, vérité, politique</w:t>
      </w:r>
    </w:p>
    <w:p w14:paraId="5AFAA586" w14:textId="77777777" w:rsidR="00981E6E" w:rsidRDefault="00981E6E" w:rsidP="00935770">
      <w:pPr>
        <w:spacing w:after="0"/>
        <w:ind w:firstLine="567"/>
        <w:jc w:val="both"/>
        <w:rPr>
          <w:rFonts w:ascii="Times New Roman" w:hAnsi="Times New Roman" w:cs="Times New Roman"/>
        </w:rPr>
      </w:pPr>
    </w:p>
    <w:p w14:paraId="468F44DF" w14:textId="5966E20B" w:rsidR="00935770" w:rsidRPr="00935770" w:rsidRDefault="00935770" w:rsidP="00935770">
      <w:pPr>
        <w:spacing w:after="0"/>
        <w:ind w:firstLine="567"/>
        <w:jc w:val="both"/>
        <w:rPr>
          <w:rFonts w:ascii="Times New Roman" w:hAnsi="Times New Roman" w:cs="Times New Roman"/>
        </w:rPr>
      </w:pPr>
      <w:r w:rsidRPr="00935770">
        <w:rPr>
          <w:rFonts w:ascii="Times New Roman" w:hAnsi="Times New Roman" w:cs="Times New Roman"/>
        </w:rPr>
        <w:t>"L'une des découvertes du gouvernement totalitaire a été la méthode consistant à creuser de grands trous dans lesquels enterrer les faits et les événements malvenus, vaste entreprise qui n'a pu être réalisée qu'en assassinant des millions de gens qui avaient été les acteurs ou les témoins du passé. Le passé était condamné à être oublié comme s'il n'avait jamais existé. Assurément, personne n'a voulu suivre la logique sans merci de ces dirigeants passés, surtout depuis, comme nous le savons désormais, qu'ils n'ont pas réussi. […]</w:t>
      </w:r>
    </w:p>
    <w:p w14:paraId="01520957" w14:textId="77777777" w:rsidR="00935770" w:rsidRPr="00935770" w:rsidRDefault="00935770" w:rsidP="00935770">
      <w:pPr>
        <w:spacing w:after="0"/>
        <w:ind w:firstLine="567"/>
        <w:jc w:val="both"/>
        <w:rPr>
          <w:rFonts w:ascii="Times New Roman" w:hAnsi="Times New Roman" w:cs="Times New Roman"/>
        </w:rPr>
      </w:pPr>
      <w:r w:rsidRPr="00935770">
        <w:rPr>
          <w:rFonts w:ascii="Times New Roman" w:hAnsi="Times New Roman" w:cs="Times New Roman"/>
        </w:rPr>
        <w:t xml:space="preserve">Si l'histoire - par opposition aux historiens, qui tirent les leçons les plus hétérogènes de leurs interprétations de l'histoire - a des leçons à nous enseigner, cette Pythie me semble plus cryptique et obscure que les prophéties notoirement peu fiables de l'oracle de Delphes. Je crois plutôt avec Faulkner que « </w:t>
      </w:r>
      <w:r w:rsidRPr="00935770">
        <w:rPr>
          <w:rFonts w:ascii="Times New Roman" w:hAnsi="Times New Roman" w:cs="Times New Roman"/>
          <w:i/>
        </w:rPr>
        <w:t>le passé ne meurt jamais, il ne passe même pas</w:t>
      </w:r>
      <w:r w:rsidRPr="00935770">
        <w:rPr>
          <w:rFonts w:ascii="Times New Roman" w:hAnsi="Times New Roman" w:cs="Times New Roman"/>
        </w:rPr>
        <w:t xml:space="preserve"> », et ce, pour la simple et bonne raison que le monde dans lequel nous vivons à n'importe quel moment est le monde du passé ; il consiste dans les monuments et les reliques de ce qu'ont accompli les hommes pour le meilleur comme pour le pire ; ses faits sont toujours ce qui est devenu (comme le suggère l'origine latine du mot </w:t>
      </w:r>
      <w:proofErr w:type="spellStart"/>
      <w:r w:rsidRPr="00935770">
        <w:rPr>
          <w:rFonts w:ascii="Times New Roman" w:hAnsi="Times New Roman" w:cs="Times New Roman"/>
          <w:i/>
        </w:rPr>
        <w:t>fieri</w:t>
      </w:r>
      <w:proofErr w:type="spellEnd"/>
      <w:r w:rsidRPr="00935770">
        <w:rPr>
          <w:rFonts w:ascii="Times New Roman" w:hAnsi="Times New Roman" w:cs="Times New Roman"/>
        </w:rPr>
        <w:t xml:space="preserve"> - </w:t>
      </w:r>
      <w:r w:rsidRPr="00935770">
        <w:rPr>
          <w:rFonts w:ascii="Times New Roman" w:hAnsi="Times New Roman" w:cs="Times New Roman"/>
          <w:i/>
        </w:rPr>
        <w:t>factum est</w:t>
      </w:r>
      <w:r w:rsidRPr="00935770">
        <w:rPr>
          <w:rStyle w:val="Appelnotedebasdep"/>
          <w:rFonts w:ascii="Times New Roman" w:hAnsi="Times New Roman" w:cs="Times New Roman"/>
          <w:i/>
        </w:rPr>
        <w:footnoteReference w:id="1"/>
      </w:r>
      <w:r w:rsidRPr="00935770">
        <w:rPr>
          <w:rFonts w:ascii="Times New Roman" w:hAnsi="Times New Roman" w:cs="Times New Roman"/>
        </w:rPr>
        <w:t>). En d'autres termes, il est assez vrai que le passé nous hante ; c'est d'ailleurs la fonction du passé de nous hanter, nous qui sommes présents et souhaitons vivre dans le monde tel qu'il est réellement, c'est-à-dire qui est devenu ce qu'il est désormais."</w:t>
      </w:r>
    </w:p>
    <w:p w14:paraId="433CF86A" w14:textId="77777777" w:rsidR="00935770" w:rsidRPr="00935770" w:rsidRDefault="00935770" w:rsidP="00935770">
      <w:pPr>
        <w:spacing w:after="0"/>
        <w:ind w:firstLine="567"/>
        <w:jc w:val="both"/>
        <w:rPr>
          <w:rFonts w:ascii="Times New Roman" w:hAnsi="Times New Roman" w:cs="Times New Roman"/>
        </w:rPr>
      </w:pPr>
      <w:r w:rsidRPr="00935770">
        <w:rPr>
          <w:rFonts w:ascii="Times New Roman" w:hAnsi="Times New Roman" w:cs="Times New Roman"/>
        </w:rPr>
        <w:t xml:space="preserve">Hannah Arendt, </w:t>
      </w:r>
      <w:r w:rsidRPr="00935770">
        <w:rPr>
          <w:rFonts w:ascii="Times New Roman" w:hAnsi="Times New Roman" w:cs="Times New Roman"/>
          <w:i/>
        </w:rPr>
        <w:t>Retour de bâton,</w:t>
      </w:r>
      <w:r w:rsidRPr="00935770">
        <w:rPr>
          <w:rFonts w:ascii="Times New Roman" w:hAnsi="Times New Roman" w:cs="Times New Roman"/>
        </w:rPr>
        <w:t xml:space="preserve"> 1975, in </w:t>
      </w:r>
      <w:r w:rsidRPr="00935770">
        <w:rPr>
          <w:rFonts w:ascii="Times New Roman" w:hAnsi="Times New Roman" w:cs="Times New Roman"/>
          <w:i/>
        </w:rPr>
        <w:t>Responsabilité et jugement.</w:t>
      </w:r>
    </w:p>
    <w:p w14:paraId="1512E1FD" w14:textId="77777777" w:rsidR="00AD1388" w:rsidRDefault="00AD1388" w:rsidP="0033762F">
      <w:pPr>
        <w:spacing w:after="0"/>
        <w:ind w:firstLine="567"/>
        <w:jc w:val="both"/>
      </w:pPr>
    </w:p>
    <w:p w14:paraId="078870D4" w14:textId="77777777" w:rsidR="00FD67A2" w:rsidRDefault="00FD67A2" w:rsidP="0033762F">
      <w:pPr>
        <w:spacing w:after="0"/>
        <w:ind w:firstLine="567"/>
        <w:jc w:val="both"/>
      </w:pPr>
    </w:p>
    <w:p w14:paraId="69C140B2" w14:textId="77777777" w:rsidR="00FD67A2" w:rsidRPr="008164C4" w:rsidRDefault="00FD67A2" w:rsidP="00FD67A2">
      <w:pPr>
        <w:spacing w:after="0"/>
        <w:ind w:firstLine="567"/>
        <w:jc w:val="both"/>
        <w:rPr>
          <w:rFonts w:ascii="Arial" w:hAnsi="Arial" w:cs="Arial"/>
        </w:rPr>
      </w:pPr>
      <w:r w:rsidRPr="008164C4">
        <w:rPr>
          <w:rFonts w:ascii="Arial" w:hAnsi="Arial" w:cs="Arial"/>
        </w:rPr>
        <w:t xml:space="preserve">Et si nous songeons à présent aux vérités de fait – à des vérités aussi modestes que le rôle, durant la Révolution russe, d’un homme du nom de Trotsky qui n’apparaît dans aucun des livres d’histoire de la Russie soviétique – nous voyons immédiatement combien elles sont plus vulnérables que toutes les espèces de vérités rationnelles prises ensemble. […] Les chances qu’a la vérité de fait de survivre à l’assaut du pouvoir sont effectivement très minces ; elle est toujours en danger d’être mise hors du monde, par des manœuvres, non seulement pour un temps mais virtuellement, pour toujours. Les faits et les événements sont choses infiniment plus fragiles que les axiomes, les découvertes et les théories – même les plus follement spéculatifs – produits par l’esprit humain ; ils adviennent dans le champ perpétuellement changeant des affaires humaines, dans leur flux ou rien n’est permanent que la permanence, relative, comme on sait, de la structure de l’esprit humain. Une fois perdus, aucun effort rationnel ne les ramènera </w:t>
      </w:r>
      <w:proofErr w:type="gramStart"/>
      <w:r w:rsidRPr="008164C4">
        <w:rPr>
          <w:rFonts w:ascii="Arial" w:hAnsi="Arial" w:cs="Arial"/>
        </w:rPr>
        <w:t>jamais.[</w:t>
      </w:r>
      <w:proofErr w:type="gramEnd"/>
      <w:r w:rsidRPr="008164C4">
        <w:rPr>
          <w:rFonts w:ascii="Arial" w:hAnsi="Arial" w:cs="Arial"/>
        </w:rPr>
        <w:t>…]</w:t>
      </w:r>
    </w:p>
    <w:p w14:paraId="35DBD33E" w14:textId="77777777" w:rsidR="00FD67A2" w:rsidRPr="008164C4" w:rsidRDefault="00FD67A2" w:rsidP="00FD67A2">
      <w:pPr>
        <w:spacing w:after="0"/>
        <w:ind w:firstLine="567"/>
        <w:jc w:val="both"/>
        <w:rPr>
          <w:rFonts w:ascii="Arial" w:hAnsi="Arial" w:cs="Arial"/>
        </w:rPr>
      </w:pPr>
      <w:r w:rsidRPr="008164C4">
        <w:rPr>
          <w:rFonts w:ascii="Arial" w:hAnsi="Arial" w:cs="Arial"/>
        </w:rPr>
        <w:t>La vérité de fait […] est toujours relative à plusieurs : elle concerne des événements et des circonstances dans lesquels beaucoup sont engagés ; elle est établie par des témoins et repose sur des témoignages ; elle existe seulement dans la mesure où on en parle, même si cela se passe en privé. Elle est politique par nature. Les faits et les opinions, bien que l’on doive les distinguer, ne s’opposent pas les uns aux autres, ils appartiennent au même domaine. Les faits sont la matière des opinions, et les opinions, inspirées par différents intérêts et différentes passions, peuvent différer largement et demeurer légitimes aussi longtemps qu’elles respectent la vérité de fait. La liberté d’opinion est une farce si l’information sur les faits n’est pas garantie et si ce ne sont pas les faits eux-mêmes qui font l’objet du débat. En d’autres termes la vérité de fait fournit des informations à la pensée politique tout comme la vérité rationnelle fournit les siennes à la spéculation philosophique.</w:t>
      </w:r>
    </w:p>
    <w:p w14:paraId="4D43BE8D" w14:textId="77777777" w:rsidR="00FD67A2" w:rsidRPr="008164C4" w:rsidRDefault="00FD67A2" w:rsidP="00FD67A2">
      <w:pPr>
        <w:spacing w:after="0"/>
        <w:ind w:firstLine="567"/>
        <w:jc w:val="both"/>
        <w:rPr>
          <w:rFonts w:ascii="Arial" w:hAnsi="Arial" w:cs="Arial"/>
        </w:rPr>
      </w:pPr>
      <w:r w:rsidRPr="008164C4">
        <w:rPr>
          <w:rFonts w:ascii="Arial" w:hAnsi="Arial" w:cs="Arial"/>
        </w:rPr>
        <w:t xml:space="preserve">Mais est-ce qu’il existe aucun fait qui soit indépendant de l’opinion et de l’interprétation ? Des générations d’historiens et de philosophes de l’histoire n’ont-elles pas démontré l’impossibilité de constater des faits sans les interpréter, puisque ceux-ci doivent d’abord être extraits d’un chaos de purs événements (et les principes du choix ne sont assurément pas des données de fait), puis être arrangés en une histoire qui ne peut être racontée que dans une certaine perspective, qui n’a rien à voir avec ce qui a eu lieu à l’origine ? Il ne fait pas de doute </w:t>
      </w:r>
      <w:r w:rsidRPr="008164C4">
        <w:rPr>
          <w:rFonts w:ascii="Arial" w:hAnsi="Arial" w:cs="Arial"/>
        </w:rPr>
        <w:lastRenderedPageBreak/>
        <w:t xml:space="preserve">que </w:t>
      </w:r>
      <w:proofErr w:type="gramStart"/>
      <w:r w:rsidRPr="008164C4">
        <w:rPr>
          <w:rFonts w:ascii="Arial" w:hAnsi="Arial" w:cs="Arial"/>
        </w:rPr>
        <w:t>ces difficulté</w:t>
      </w:r>
      <w:proofErr w:type="gramEnd"/>
      <w:r w:rsidRPr="008164C4">
        <w:rPr>
          <w:rFonts w:ascii="Arial" w:hAnsi="Arial" w:cs="Arial"/>
        </w:rPr>
        <w:t>, et bien d’autres encore, inhérentes aux sciences historiques, soient réelles, mais elles ne constituent pas une preuve contre l’existence de la matière factuelle, pas plus qu’elles ne peuvent servir de justification à l’effacement des lignes de démarcation entre le fait, l’opinion, et l’interprétation, ni d’excuse à l’historien pour manipuler les faits comme il lui plaît. Même si nous admettons que chaque génération ait le droit d’écrire sa propre histoire, nous refusons d’admettre qu’elle ait le droit de remanier les faits en harmonie avec sa perspective propre ; nous n’admettons pas le droit de porter atteinte à la matière factuelle elle-même. Pour illustrer ce point, et nous excuser de ne pas pousser la question plus loin : durant les années vingt, Clémenceau, peu avant sa mort, se trouvait engagé dans une conversation amicale avec un représentant de la République de Weimar au sujet des responsabilités quant au déclenchement de la Première Guerre mondiale. On demanda à Clémenceau : « A votre avis, qu’est-ce que les historiens futurs penseront de ce problème embarrassant et controversé ? » Il répondit :</w:t>
      </w:r>
      <w:proofErr w:type="gramStart"/>
      <w:r w:rsidRPr="008164C4">
        <w:rPr>
          <w:rFonts w:ascii="Arial" w:hAnsi="Arial" w:cs="Arial"/>
        </w:rPr>
        <w:t xml:space="preserve"> «</w:t>
      </w:r>
      <w:r w:rsidRPr="008164C4">
        <w:rPr>
          <w:rFonts w:ascii="Arial" w:hAnsi="Arial" w:cs="Arial"/>
          <w:caps/>
        </w:rPr>
        <w:t>ç</w:t>
      </w:r>
      <w:r w:rsidRPr="008164C4">
        <w:rPr>
          <w:rFonts w:ascii="Arial" w:hAnsi="Arial" w:cs="Arial"/>
        </w:rPr>
        <w:t>a</w:t>
      </w:r>
      <w:proofErr w:type="gramEnd"/>
      <w:r w:rsidRPr="008164C4">
        <w:rPr>
          <w:rFonts w:ascii="Arial" w:hAnsi="Arial" w:cs="Arial"/>
        </w:rPr>
        <w:t xml:space="preserve">, je n’en sais rien, mais ce dont je suis sûr, c’est </w:t>
      </w:r>
      <w:proofErr w:type="gramStart"/>
      <w:r w:rsidRPr="008164C4">
        <w:rPr>
          <w:rFonts w:ascii="Arial" w:hAnsi="Arial" w:cs="Arial"/>
        </w:rPr>
        <w:t>qu’il ne diront</w:t>
      </w:r>
      <w:proofErr w:type="gramEnd"/>
      <w:r w:rsidRPr="008164C4">
        <w:rPr>
          <w:rFonts w:ascii="Arial" w:hAnsi="Arial" w:cs="Arial"/>
        </w:rPr>
        <w:t xml:space="preserve"> pas que la Belgique a envahi l’Allemagne. » Nous nous occupons ici de données élémentaires brutales de ce genre, dont le caractère inattaquable a été admis même par les partisans les plus convaincus et les plus sophistiqués de l’historicisme.</w:t>
      </w:r>
    </w:p>
    <w:p w14:paraId="3AF1F693" w14:textId="77777777" w:rsidR="00FD67A2" w:rsidRDefault="00FD67A2" w:rsidP="00FD67A2">
      <w:pPr>
        <w:spacing w:after="0"/>
        <w:ind w:firstLine="567"/>
        <w:jc w:val="both"/>
        <w:rPr>
          <w:rFonts w:ascii="Arial" w:hAnsi="Arial" w:cs="Arial"/>
        </w:rPr>
      </w:pPr>
      <w:r w:rsidRPr="008164C4">
        <w:rPr>
          <w:rFonts w:ascii="Arial" w:hAnsi="Arial" w:cs="Arial"/>
        </w:rPr>
        <w:t>Il est vrai qu’il faudrait plus que les caprices des historiens pour éliminer de l’histoire le fait que dans la nuit du 4 août 1914, les troupes allemandes franchirent la frontière belge ; cela ne demanderait pas moins que le monopole du pouvoir sur la totalité du monde civilisé. Or un tel monopole du pouvoir est loin d’être inconcevable, et il n’est pas difficile d’imaginer quel serait le destin de la vérité de fait si l’intérêt du pouvoir, qu’il soit national ou social, avait le dernier mot sur ces questions.</w:t>
      </w:r>
    </w:p>
    <w:p w14:paraId="6F8D2696" w14:textId="77777777" w:rsidR="00FD67A2" w:rsidRPr="008164C4" w:rsidRDefault="00FD67A2" w:rsidP="00FD67A2">
      <w:pPr>
        <w:spacing w:after="0"/>
        <w:ind w:firstLine="567"/>
        <w:jc w:val="both"/>
        <w:rPr>
          <w:rFonts w:ascii="Arial" w:hAnsi="Arial" w:cs="Arial"/>
        </w:rPr>
      </w:pPr>
    </w:p>
    <w:p w14:paraId="150E49BF" w14:textId="77777777" w:rsidR="00FD67A2" w:rsidRPr="008164C4" w:rsidRDefault="00FD67A2" w:rsidP="00FD67A2">
      <w:pPr>
        <w:spacing w:after="0"/>
        <w:ind w:firstLine="567"/>
        <w:jc w:val="both"/>
        <w:rPr>
          <w:rFonts w:ascii="Arial" w:hAnsi="Arial" w:cs="Arial"/>
        </w:rPr>
      </w:pPr>
      <w:r w:rsidRPr="008164C4">
        <w:rPr>
          <w:rFonts w:ascii="Arial" w:hAnsi="Arial" w:cs="Arial"/>
        </w:rPr>
        <w:t xml:space="preserve">Hannah Arendt, </w:t>
      </w:r>
      <w:r w:rsidRPr="008164C4">
        <w:rPr>
          <w:rFonts w:ascii="Arial" w:hAnsi="Arial" w:cs="Arial"/>
          <w:i/>
        </w:rPr>
        <w:t>Vérité et politique</w:t>
      </w:r>
      <w:r w:rsidRPr="008164C4">
        <w:rPr>
          <w:rFonts w:ascii="Arial" w:hAnsi="Arial" w:cs="Arial"/>
        </w:rPr>
        <w:t xml:space="preserve">, in </w:t>
      </w:r>
      <w:r w:rsidRPr="008164C4">
        <w:rPr>
          <w:rFonts w:ascii="Arial" w:hAnsi="Arial" w:cs="Arial"/>
          <w:i/>
        </w:rPr>
        <w:t>La crise de la culture</w:t>
      </w:r>
      <w:r w:rsidRPr="008164C4">
        <w:rPr>
          <w:rFonts w:ascii="Arial" w:hAnsi="Arial" w:cs="Arial"/>
        </w:rPr>
        <w:t>, pp. 294 et 303-305 (1972).</w:t>
      </w:r>
    </w:p>
    <w:p w14:paraId="49A2130A" w14:textId="77777777" w:rsidR="00FD67A2" w:rsidRDefault="00FD67A2" w:rsidP="0033762F">
      <w:pPr>
        <w:spacing w:after="0"/>
        <w:ind w:firstLine="567"/>
        <w:jc w:val="both"/>
      </w:pPr>
    </w:p>
    <w:p w14:paraId="310E807F" w14:textId="77777777" w:rsidR="00FD67A2" w:rsidRDefault="00FD67A2" w:rsidP="00FD67A2">
      <w:pPr>
        <w:spacing w:after="120"/>
        <w:ind w:firstLine="357"/>
        <w:jc w:val="both"/>
        <w:rPr>
          <w:rFonts w:ascii="Times New Roman" w:hAnsi="Times New Roman"/>
        </w:rPr>
      </w:pPr>
      <w:r>
        <w:rPr>
          <w:rFonts w:ascii="Times New Roman" w:hAnsi="Times New Roman"/>
        </w:rPr>
        <w:t>Dans notre inévitable subordination envers le passé nous nous sommes donc affranchis du moins en ceci que, condamnés toujours à le connaître exclusivement par ses traces, nous parvenons toutefois à en savoir sur lui beaucoup plus long qu’il n’avait lui-même cru bon de nous en faire connaître. C’est, à bien le prendre, une grande revanche de l’intelligence sur le donné.</w:t>
      </w:r>
      <w:hyperlink w:anchor="table" w:history="1"/>
    </w:p>
    <w:p w14:paraId="14645BAF" w14:textId="77777777" w:rsidR="00FD67A2" w:rsidRDefault="00FD67A2" w:rsidP="00FD67A2">
      <w:pPr>
        <w:spacing w:after="120"/>
        <w:ind w:firstLine="357"/>
        <w:jc w:val="both"/>
        <w:rPr>
          <w:rFonts w:ascii="Times New Roman" w:hAnsi="Times New Roman"/>
        </w:rPr>
      </w:pPr>
      <w:r>
        <w:rPr>
          <w:rFonts w:ascii="Times New Roman" w:hAnsi="Times New Roman"/>
        </w:rPr>
        <w:t>Mais du moment que nous ne sommes plus résignés à enregistrer pure</w:t>
      </w:r>
      <w:r>
        <w:rPr>
          <w:rFonts w:ascii="Times New Roman" w:hAnsi="Times New Roman"/>
        </w:rPr>
        <w:softHyphen/>
        <w:t>ment et simplement les propos de nos témoins, du moment que nous entendons les forcer à parler, fût</w:t>
      </w:r>
      <w:r>
        <w:rPr>
          <w:rFonts w:ascii="Times New Roman" w:hAnsi="Times New Roman"/>
        </w:rPr>
        <w:noBreakHyphen/>
        <w:t>ce contre leur gré — un questionnaire plus que jamais s’impose. Telle est, en effet, la première nécessité de toute recherche historique bien conduite.</w:t>
      </w:r>
    </w:p>
    <w:p w14:paraId="691E105A" w14:textId="77777777" w:rsidR="00FD67A2" w:rsidRDefault="00FD67A2" w:rsidP="00FD67A2">
      <w:pPr>
        <w:spacing w:after="120"/>
        <w:ind w:firstLine="357"/>
        <w:jc w:val="both"/>
        <w:rPr>
          <w:rFonts w:ascii="Times New Roman" w:hAnsi="Times New Roman"/>
        </w:rPr>
      </w:pPr>
      <w:r>
        <w:rPr>
          <w:rFonts w:ascii="Times New Roman" w:hAnsi="Times New Roman"/>
        </w:rPr>
        <w:t>Beaucoup de personnes et même, semble</w:t>
      </w:r>
      <w:r>
        <w:rPr>
          <w:rFonts w:ascii="Times New Roman" w:hAnsi="Times New Roman"/>
        </w:rPr>
        <w:noBreakHyphen/>
        <w:t>t</w:t>
      </w:r>
      <w:r>
        <w:rPr>
          <w:rFonts w:ascii="Times New Roman" w:hAnsi="Times New Roman"/>
        </w:rPr>
        <w:noBreakHyphen/>
        <w:t>il, certains auteurs de manuels se font de la marche de notre travail une image étonnamment candide. Au commencement, diraient</w:t>
      </w:r>
      <w:r>
        <w:rPr>
          <w:rFonts w:ascii="Times New Roman" w:hAnsi="Times New Roman"/>
        </w:rPr>
        <w:noBreakHyphen/>
        <w:t>elles volontiers, sont les documents. L’histo</w:t>
      </w:r>
      <w:r>
        <w:rPr>
          <w:rFonts w:ascii="Times New Roman" w:hAnsi="Times New Roman"/>
        </w:rPr>
        <w:softHyphen/>
        <w:t>rien les rassemble, les lit, s’efforce d’en peser l’authenticité et la véracité. Après quoi, et après quoi seulement, il les met en œuvre. Il n’y a qu’un malheur : aucun historien, jamais, n’a procédé ainsi. Même lorsque d’aven</w:t>
      </w:r>
      <w:r>
        <w:rPr>
          <w:rFonts w:ascii="Times New Roman" w:hAnsi="Times New Roman"/>
        </w:rPr>
        <w:softHyphen/>
        <w:t>ture il s’imagine le faire.</w:t>
      </w:r>
    </w:p>
    <w:p w14:paraId="41664D59" w14:textId="77777777" w:rsidR="00FD67A2" w:rsidRDefault="00FD67A2" w:rsidP="00FD67A2">
      <w:pPr>
        <w:spacing w:after="120"/>
        <w:ind w:firstLine="357"/>
        <w:jc w:val="both"/>
        <w:rPr>
          <w:rFonts w:ascii="Times New Roman" w:hAnsi="Times New Roman"/>
        </w:rPr>
      </w:pPr>
      <w:r>
        <w:rPr>
          <w:rFonts w:ascii="Times New Roman" w:hAnsi="Times New Roman"/>
        </w:rPr>
        <w:t>Car les textes, ou les documents archéologiques, fût</w:t>
      </w:r>
      <w:r>
        <w:rPr>
          <w:rFonts w:ascii="Times New Roman" w:hAnsi="Times New Roman"/>
        </w:rPr>
        <w:noBreakHyphen/>
        <w:t>ce les plus clairs en apparence et les plus complaisants, ne parlent que lorsqu’on sait les interroger. Avant Boucher de Perthes, les silex abondaient, comme de nos jours, dans les alluvions de la Somme. Mais l’interrogateur manquait et il n’y avait pas de préhistoire. Vieux médiéviste, j’avoue ne connaître guère de lecture plus attrayante qu’un cartulaire. C’est que je sais à peu près quoi lui demander. Un recueil d’inscriptions romaines, en revanche, me dit peu. Je sais tant bien que mal les lire, non les solliciter. En d’autres termes, toute recherche historique suppose, dès ses premiers pas, que l’enquête ait déjà une direction. Au commencement est l’esprit. Jamais, dans aucune science, l’observation passive n’a rien donné de fécond. A supposer, d’ailleurs, qu’elle soit possible.</w:t>
      </w:r>
    </w:p>
    <w:p w14:paraId="0CB22474" w14:textId="77777777" w:rsidR="00FD67A2" w:rsidRDefault="00FD67A2" w:rsidP="00FD67A2">
      <w:pPr>
        <w:spacing w:after="120"/>
        <w:ind w:firstLine="357"/>
        <w:jc w:val="both"/>
        <w:rPr>
          <w:rFonts w:ascii="Times New Roman" w:hAnsi="Times New Roman"/>
        </w:rPr>
      </w:pPr>
      <w:r>
        <w:rPr>
          <w:rFonts w:ascii="Times New Roman" w:hAnsi="Times New Roman"/>
        </w:rPr>
        <w:t>Ne nous y laissons pas tromper en effet. Il arrive, sans doute, que le questionnaire demeure purement instinctif. Il est là cependant. Sans que le travailleur en ait conscience, les articles lui en sont dictés par les affir</w:t>
      </w:r>
      <w:r>
        <w:rPr>
          <w:rFonts w:ascii="Times New Roman" w:hAnsi="Times New Roman"/>
        </w:rPr>
        <w:softHyphen/>
        <w:t>mations ou les hésitations que ses expériences antérieures ont obscuré</w:t>
      </w:r>
      <w:r>
        <w:rPr>
          <w:rFonts w:ascii="Times New Roman" w:hAnsi="Times New Roman"/>
        </w:rPr>
        <w:softHyphen/>
        <w:t>ment inscrites dans son cerveau, par la tradition, par le sens commun, c’est</w:t>
      </w:r>
      <w:r>
        <w:rPr>
          <w:rFonts w:ascii="Times New Roman" w:hAnsi="Times New Roman"/>
        </w:rPr>
        <w:noBreakHyphen/>
        <w:t>à</w:t>
      </w:r>
      <w:r>
        <w:rPr>
          <w:rFonts w:ascii="Times New Roman" w:hAnsi="Times New Roman"/>
        </w:rPr>
        <w:noBreakHyphen/>
        <w:t xml:space="preserve">dire, trop souvent, par les préjugés communs. On n’est jamais aussi réceptif qu’on ne le croit. Il n’y a pas de pire conseil à donner à un débutant que celui </w:t>
      </w:r>
      <w:r>
        <w:rPr>
          <w:rFonts w:ascii="Times New Roman" w:hAnsi="Times New Roman"/>
        </w:rPr>
        <w:lastRenderedPageBreak/>
        <w:t>d’attendre ainsi, dans une attitude d’apparente sou</w:t>
      </w:r>
      <w:r>
        <w:rPr>
          <w:rFonts w:ascii="Times New Roman" w:hAnsi="Times New Roman"/>
        </w:rPr>
        <w:softHyphen/>
        <w:t xml:space="preserve">mission, l’inspiration du document. </w:t>
      </w:r>
      <w:proofErr w:type="spellStart"/>
      <w:r>
        <w:rPr>
          <w:rFonts w:ascii="Times New Roman" w:hAnsi="Times New Roman"/>
        </w:rPr>
        <w:t>Par là</w:t>
      </w:r>
      <w:proofErr w:type="spellEnd"/>
      <w:r>
        <w:rPr>
          <w:rFonts w:ascii="Times New Roman" w:hAnsi="Times New Roman"/>
        </w:rPr>
        <w:t xml:space="preserve"> plus d’une recherche de bonne volonté a été vouée à l’échec ou à l’insignifiance.</w:t>
      </w:r>
    </w:p>
    <w:p w14:paraId="292D36CE" w14:textId="77777777" w:rsidR="00FD67A2" w:rsidRDefault="00FD67A2" w:rsidP="00FD67A2">
      <w:pPr>
        <w:spacing w:after="120"/>
        <w:ind w:firstLine="357"/>
        <w:jc w:val="both"/>
        <w:rPr>
          <w:rFonts w:ascii="Times New Roman" w:hAnsi="Times New Roman"/>
        </w:rPr>
      </w:pPr>
      <w:r>
        <w:rPr>
          <w:rFonts w:ascii="Times New Roman" w:hAnsi="Times New Roman"/>
        </w:rPr>
        <w:t>Naturellement il le faut, ce choix raisonné des questions, extrêmement souple, susceptible de se charger chemin faisant d’une multitude d’articles nouveaux, ouvert à toutes les surprises — tel cependant qu’il puisse, dès l’abord, servir d’aimant aux limailles du document. L’itinéraire que l’explorateur établit, au départ, il sait bien d’avance qu’il ne le suivra pas de point en point. A ne pas en avoir, cependant, il risquerait d’errer éternellement à l’aventure.</w:t>
      </w:r>
    </w:p>
    <w:p w14:paraId="469C4D4F" w14:textId="77777777" w:rsidR="00FD67A2" w:rsidRDefault="00FD67A2" w:rsidP="00FD67A2">
      <w:pPr>
        <w:ind w:firstLine="567"/>
        <w:jc w:val="both"/>
      </w:pPr>
    </w:p>
    <w:p w14:paraId="754EACAF" w14:textId="77777777" w:rsidR="00FD67A2" w:rsidRPr="00C13CC6" w:rsidRDefault="00FD67A2" w:rsidP="00FD67A2">
      <w:pPr>
        <w:ind w:firstLine="567"/>
        <w:jc w:val="both"/>
      </w:pPr>
      <w:r>
        <w:t xml:space="preserve">Marc Bloch, </w:t>
      </w:r>
      <w:r w:rsidRPr="008925B9">
        <w:rPr>
          <w:i/>
        </w:rPr>
        <w:t>Apologie pour l’histoire</w:t>
      </w:r>
      <w:r>
        <w:t>, (1949).</w:t>
      </w:r>
    </w:p>
    <w:p w14:paraId="0F955D64" w14:textId="77777777" w:rsidR="00FD67A2" w:rsidRPr="00935770" w:rsidRDefault="00FD67A2" w:rsidP="0033762F">
      <w:pPr>
        <w:spacing w:after="0"/>
        <w:ind w:firstLine="567"/>
        <w:jc w:val="both"/>
      </w:pPr>
    </w:p>
    <w:sectPr w:rsidR="00FD67A2" w:rsidRPr="00935770" w:rsidSect="00612962">
      <w:pgSz w:w="11906" w:h="16838"/>
      <w:pgMar w:top="1276"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4900" w14:textId="77777777" w:rsidR="00E843DC" w:rsidRDefault="00E843DC" w:rsidP="00935770">
      <w:pPr>
        <w:spacing w:after="0" w:line="240" w:lineRule="auto"/>
      </w:pPr>
      <w:r>
        <w:separator/>
      </w:r>
    </w:p>
  </w:endnote>
  <w:endnote w:type="continuationSeparator" w:id="0">
    <w:p w14:paraId="594187E3" w14:textId="77777777" w:rsidR="00E843DC" w:rsidRDefault="00E843DC" w:rsidP="0093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DDC0" w14:textId="77777777" w:rsidR="00E843DC" w:rsidRDefault="00E843DC" w:rsidP="00935770">
      <w:pPr>
        <w:spacing w:after="0" w:line="240" w:lineRule="auto"/>
      </w:pPr>
      <w:r>
        <w:separator/>
      </w:r>
    </w:p>
  </w:footnote>
  <w:footnote w:type="continuationSeparator" w:id="0">
    <w:p w14:paraId="3CDEC6E3" w14:textId="77777777" w:rsidR="00E843DC" w:rsidRDefault="00E843DC" w:rsidP="00935770">
      <w:pPr>
        <w:spacing w:after="0" w:line="240" w:lineRule="auto"/>
      </w:pPr>
      <w:r>
        <w:continuationSeparator/>
      </w:r>
    </w:p>
  </w:footnote>
  <w:footnote w:id="1">
    <w:p w14:paraId="52C810E5" w14:textId="77777777" w:rsidR="00935770" w:rsidRDefault="00935770" w:rsidP="00935770">
      <w:pPr>
        <w:pStyle w:val="Notedebasdepage"/>
      </w:pPr>
      <w:r>
        <w:rPr>
          <w:rStyle w:val="Appelnotedebasdep"/>
        </w:rPr>
        <w:footnoteRef/>
      </w:r>
      <w:r>
        <w:t xml:space="preserve"> Etymologie de </w:t>
      </w:r>
      <w:r w:rsidRPr="00C72771">
        <w:rPr>
          <w:i/>
        </w:rPr>
        <w:t>fait</w:t>
      </w:r>
      <w:r>
        <w:t xml:space="preserve"> : </w:t>
      </w:r>
      <w:r w:rsidRPr="00C72771">
        <w:rPr>
          <w:i/>
        </w:rPr>
        <w:t>Fieri</w:t>
      </w:r>
      <w:r>
        <w:t xml:space="preserve"> = infinitif présent du verbe </w:t>
      </w:r>
      <w:proofErr w:type="spellStart"/>
      <w:r w:rsidRPr="00C72771">
        <w:rPr>
          <w:i/>
        </w:rPr>
        <w:t>fio</w:t>
      </w:r>
      <w:proofErr w:type="spellEnd"/>
      <w:r>
        <w:t xml:space="preserve">, qui signifie devenir ; </w:t>
      </w:r>
      <w:r w:rsidRPr="00C72771">
        <w:t>qui est fait</w:t>
      </w:r>
      <w:r>
        <w:t xml:space="preserve"> = </w:t>
      </w:r>
      <w:r w:rsidRPr="00C72771">
        <w:rPr>
          <w:i/>
        </w:rPr>
        <w:t>factum est</w:t>
      </w:r>
      <w:r>
        <w:t>. Cela veut dire que l’idée de « devenir » est contenue dans celle de « fait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70"/>
    <w:rsid w:val="00224112"/>
    <w:rsid w:val="0033762F"/>
    <w:rsid w:val="004739C7"/>
    <w:rsid w:val="00904D25"/>
    <w:rsid w:val="00935770"/>
    <w:rsid w:val="00981E6E"/>
    <w:rsid w:val="00A266DA"/>
    <w:rsid w:val="00AD1388"/>
    <w:rsid w:val="00B838CE"/>
    <w:rsid w:val="00E422F0"/>
    <w:rsid w:val="00E843DC"/>
    <w:rsid w:val="00FD67A2"/>
    <w:rsid w:val="00FE13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0846"/>
  <w15:chartTrackingRefBased/>
  <w15:docId w15:val="{9B59E90E-A551-4E1B-851E-A58A5D9D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33762F"/>
  </w:style>
  <w:style w:type="paragraph" w:styleId="En-tte">
    <w:name w:val="header"/>
    <w:basedOn w:val="Normal"/>
    <w:link w:val="En-tteCar"/>
    <w:uiPriority w:val="99"/>
    <w:unhideWhenUsed/>
    <w:rsid w:val="00935770"/>
    <w:pPr>
      <w:tabs>
        <w:tab w:val="center" w:pos="4536"/>
        <w:tab w:val="right" w:pos="9072"/>
      </w:tabs>
      <w:spacing w:after="0" w:line="240" w:lineRule="auto"/>
    </w:pPr>
  </w:style>
  <w:style w:type="character" w:customStyle="1" w:styleId="En-tteCar">
    <w:name w:val="En-tête Car"/>
    <w:basedOn w:val="Policepardfaut"/>
    <w:link w:val="En-tte"/>
    <w:uiPriority w:val="99"/>
    <w:rsid w:val="00935770"/>
  </w:style>
  <w:style w:type="paragraph" w:styleId="Notedebasdepage">
    <w:name w:val="footnote text"/>
    <w:basedOn w:val="Normal"/>
    <w:link w:val="NotedebasdepageCar"/>
    <w:uiPriority w:val="99"/>
    <w:unhideWhenUsed/>
    <w:rsid w:val="00935770"/>
    <w:pPr>
      <w:spacing w:after="0" w:line="240" w:lineRule="auto"/>
    </w:pPr>
    <w:rPr>
      <w:sz w:val="20"/>
      <w:szCs w:val="20"/>
    </w:rPr>
  </w:style>
  <w:style w:type="character" w:customStyle="1" w:styleId="NotedebasdepageCar">
    <w:name w:val="Note de bas de page Car"/>
    <w:basedOn w:val="Policepardfaut"/>
    <w:link w:val="Notedebasdepage"/>
    <w:uiPriority w:val="99"/>
    <w:rsid w:val="00935770"/>
    <w:rPr>
      <w:sz w:val="20"/>
      <w:szCs w:val="20"/>
    </w:rPr>
  </w:style>
  <w:style w:type="character" w:styleId="Appelnotedebasdep">
    <w:name w:val="footnote reference"/>
    <w:basedOn w:val="Policepardfaut"/>
    <w:uiPriority w:val="99"/>
    <w:unhideWhenUsed/>
    <w:rsid w:val="00935770"/>
    <w:rPr>
      <w:vertAlign w:val="superscript"/>
    </w:rPr>
  </w:style>
  <w:style w:type="paragraph" w:styleId="Pieddepage">
    <w:name w:val="footer"/>
    <w:basedOn w:val="Normal"/>
    <w:link w:val="PieddepageCar"/>
    <w:uiPriority w:val="99"/>
    <w:unhideWhenUsed/>
    <w:rsid w:val="009357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od&#232;les%20Office%20personnalis&#233;s\col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colle</Template>
  <TotalTime>1</TotalTime>
  <Pages>3</Pages>
  <Words>1467</Words>
  <Characters>8073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Laure Rivory</cp:lastModifiedBy>
  <cp:revision>2</cp:revision>
  <dcterms:created xsi:type="dcterms:W3CDTF">2026-01-15T16:06:00Z</dcterms:created>
  <dcterms:modified xsi:type="dcterms:W3CDTF">2026-01-15T16:06:00Z</dcterms:modified>
</cp:coreProperties>
</file>