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AC1" w:rsidRPr="00C03AC1" w:rsidRDefault="00C03AC1" w:rsidP="00C03A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03AC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The </w:t>
      </w:r>
      <w:proofErr w:type="spellStart"/>
      <w:r w:rsidRPr="00C03AC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Gender</w:t>
      </w:r>
      <w:proofErr w:type="spellEnd"/>
      <w:r w:rsidRPr="00C03AC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Pay</w:t>
      </w:r>
      <w:proofErr w:type="spellEnd"/>
      <w:r w:rsidRPr="00C03AC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Gap Is a Culture </w:t>
      </w:r>
      <w:proofErr w:type="spellStart"/>
      <w:r w:rsidRPr="00C03AC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Problem</w:t>
      </w:r>
      <w:proofErr w:type="spellEnd"/>
    </w:p>
    <w:p w:rsidR="00C03AC1" w:rsidRPr="00C03AC1" w:rsidRDefault="00C03AC1" w:rsidP="00C03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New York Times, </w:t>
      </w:r>
      <w:r w:rsidRPr="00C03AC1">
        <w:rPr>
          <w:rFonts w:ascii="Times New Roman" w:eastAsia="Times New Roman" w:hAnsi="Times New Roman" w:cs="Times New Roman"/>
          <w:sz w:val="24"/>
          <w:szCs w:val="24"/>
        </w:rPr>
        <w:t>May 22, 2024</w:t>
      </w:r>
    </w:p>
    <w:p w:rsidR="00C03AC1" w:rsidRPr="00C03AC1" w:rsidRDefault="00C03AC1" w:rsidP="00C03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3AC1" w:rsidRPr="00C03AC1" w:rsidRDefault="00C03AC1" w:rsidP="00C03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hyperlink r:id="rId5" w:history="1">
        <w:r w:rsidRPr="00C03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Jessica </w:t>
        </w:r>
        <w:proofErr w:type="spellStart"/>
        <w:r w:rsidRPr="00C03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Grose</w:t>
        </w:r>
        <w:proofErr w:type="spellEnd"/>
      </w:hyperlink>
    </w:p>
    <w:p w:rsidR="00C03AC1" w:rsidRPr="00C03AC1" w:rsidRDefault="00C03AC1" w:rsidP="00C03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You’re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reading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the Jessica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Grose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newsletter.  A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journalist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novelist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offers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her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perspective on the American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family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, culture,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politics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and the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way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live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now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Get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sent to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inbox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3AC1" w:rsidRPr="00C03AC1" w:rsidRDefault="00C03AC1" w:rsidP="00C03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American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women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made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significant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progress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toward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closing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gender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pay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gap in the second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half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of the 20th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century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, but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gap has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barely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budged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over the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past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two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decades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. In 2022, </w:t>
      </w:r>
      <w:hyperlink r:id="rId6" w:tgtFrame="_blank" w:tooltip="" w:history="1">
        <w:proofErr w:type="spellStart"/>
        <w:r w:rsidRPr="00C03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according</w:t>
        </w:r>
        <w:proofErr w:type="spellEnd"/>
        <w:r w:rsidRPr="00C03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to </w:t>
        </w:r>
        <w:proofErr w:type="spellStart"/>
        <w:r w:rsidRPr="00C03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Pew</w:t>
        </w:r>
        <w:proofErr w:type="spellEnd"/>
        <w:r w:rsidRPr="00C03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C03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Research</w:t>
        </w:r>
        <w:proofErr w:type="spellEnd"/>
      </w:hyperlink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, “American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women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typically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earned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82 cents for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every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dollar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earned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by men. That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was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about the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same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as in 2002,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when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they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earned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80 cents to the dollar.”</w:t>
      </w:r>
    </w:p>
    <w:p w:rsidR="00C03AC1" w:rsidRPr="00C03AC1" w:rsidRDefault="00C03AC1" w:rsidP="00C03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In a country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where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women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now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hyperlink r:id="rId7" w:tgtFrame="_blank" w:tooltip="" w:history="1">
        <w:r w:rsidRPr="00C03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(</w:t>
        </w:r>
        <w:proofErr w:type="spellStart"/>
        <w:r w:rsidRPr="00C03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slight</w:t>
        </w:r>
        <w:proofErr w:type="spellEnd"/>
        <w:r w:rsidRPr="00C03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) </w:t>
        </w:r>
        <w:proofErr w:type="spellStart"/>
        <w:r w:rsidRPr="00C03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majority</w:t>
        </w:r>
        <w:proofErr w:type="spellEnd"/>
      </w:hyperlink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of the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college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educated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labor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force and the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annual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earnings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median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college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degree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holders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tgtFrame="_blank" w:tooltip="" w:history="1">
        <w:r w:rsidRPr="00C03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55 percent more</w:t>
        </w:r>
      </w:hyperlink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than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those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high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school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diplomas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, the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stickiness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gap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frustrating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While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there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several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factors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at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play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, one of the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key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contributors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to the gap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what’s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known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hyperlink r:id="rId9" w:tooltip="" w:history="1">
        <w:r w:rsidRPr="00C03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</w:t>
        </w:r>
        <w:proofErr w:type="spellStart"/>
        <w:r w:rsidRPr="00C03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motherhood</w:t>
        </w:r>
        <w:proofErr w:type="spellEnd"/>
        <w:r w:rsidRPr="00C03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penalty</w:t>
        </w:r>
      </w:hyperlink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and the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corresponding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fatherhood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premium: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Women’s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pay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decreases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when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they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have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children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while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men’s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pay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increases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3AC1" w:rsidRPr="00C03AC1" w:rsidRDefault="00C03AC1" w:rsidP="00C03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dynamic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isn’t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just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an American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phenomenon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. “In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general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women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don’t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recover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They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don’t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03AC1">
        <w:rPr>
          <w:rFonts w:ascii="Times New Roman" w:eastAsia="Times New Roman" w:hAnsi="Times New Roman" w:cs="Times New Roman"/>
          <w:sz w:val="24"/>
          <w:szCs w:val="24"/>
        </w:rPr>
        <w:t>catch</w:t>
      </w:r>
      <w:proofErr w:type="gram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back up to men,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even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many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years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after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first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childbirth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said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Henrik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Kleven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, the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lead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author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of a 2023 National Bureau of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Economic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working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paper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>, “</w:t>
      </w:r>
      <w:hyperlink r:id="rId10" w:tgtFrame="_blank" w:tooltip="" w:history="1">
        <w:r w:rsidRPr="00C03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Child Penalty Atlas</w:t>
        </w:r>
      </w:hyperlink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,” in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which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he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his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co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authors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, Camille Landais and Gabriel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Leite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Mariante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reviewed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wage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gap data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134 countries. “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Now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basic pattern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true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essentially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everywhere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, but the quantitative magnitudes of the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effects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vary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greatly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across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countries,”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he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told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recently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3AC1" w:rsidRPr="00C03AC1" w:rsidRDefault="00C03AC1" w:rsidP="00C03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Somewhat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surprisingly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to me,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his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which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builds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years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earlier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scholarship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suggests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country’s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family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policy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has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relatively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little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to do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how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big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parenthood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pay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gap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. A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society’s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culture and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norms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seem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be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much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bigger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factors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in how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big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motherhood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penalty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: The more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egalitarian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the culture, the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lower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the gap.</w:t>
      </w:r>
    </w:p>
    <w:p w:rsidR="00C03AC1" w:rsidRPr="00C03AC1" w:rsidRDefault="00C03AC1" w:rsidP="00C03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Kleven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told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sometimes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countries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seem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superficially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similar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terms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income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levels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development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family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policy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geography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have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very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different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pay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gaps. (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see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same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tgtFrame="_blank" w:tooltip="" w:history="1">
        <w:proofErr w:type="spellStart"/>
        <w:r w:rsidRPr="00C03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interplay</w:t>
        </w:r>
        <w:proofErr w:type="spellEnd"/>
        <w:r w:rsidRPr="00C03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in American states</w:t>
        </w:r>
      </w:hyperlink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child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penalty 21 percent in Vermont and 61 percent in Utah.)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Even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countries right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next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each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other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can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have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wildly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different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gaps.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Spain’s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child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pay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gap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much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bigger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than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Portugal’s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Germany’s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bigger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than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Denmark’s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. Central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European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countries have “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some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of the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highest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child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penalties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see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anywhere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in the world,”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Kleven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said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Scandinavian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countries have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some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of the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lowest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3AC1" w:rsidRPr="00C03AC1" w:rsidRDefault="00C03AC1" w:rsidP="00C03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Let’s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look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at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Austria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. It has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generous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" w:tgtFrame="_blank" w:tooltip="" w:history="1">
        <w:proofErr w:type="spellStart"/>
        <w:r w:rsidRPr="00C03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family</w:t>
        </w:r>
        <w:proofErr w:type="spellEnd"/>
        <w:r w:rsidRPr="00C03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C03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leave</w:t>
        </w:r>
        <w:proofErr w:type="spellEnd"/>
        <w:r w:rsidRPr="00C03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C03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policies</w:t>
        </w:r>
        <w:proofErr w:type="spellEnd"/>
      </w:hyperlink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hyperlink r:id="rId13" w:tgtFrame="_blank" w:tooltip="" w:history="1">
        <w:proofErr w:type="spellStart"/>
        <w:r w:rsidRPr="00C03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child</w:t>
        </w:r>
        <w:proofErr w:type="spellEnd"/>
        <w:r w:rsidRPr="00C03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care subsidies</w:t>
        </w:r>
      </w:hyperlink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especially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by American standards. But in a 2022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working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paper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, “Do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Family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Policies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Reduce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Gender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Inequality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? Evidence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60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Years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of Policy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Experimentation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Kleven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his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co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authors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’ </w:t>
      </w:r>
      <w:hyperlink r:id="rId14" w:tgtFrame="_blank" w:tooltip="" w:history="1">
        <w:proofErr w:type="spellStart"/>
        <w:r w:rsidRPr="00C03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analysis</w:t>
        </w:r>
        <w:proofErr w:type="spellEnd"/>
      </w:hyperlink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showed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enormous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expansions of parental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leave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child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care subsidies have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had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virtually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no impact on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gender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convergence.”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Despite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an influx of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Austrian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women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lastRenderedPageBreak/>
        <w:t>into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work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force in the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past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50 or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so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years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, the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relatively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large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child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penalty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can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be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at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least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partly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explained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gender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attitudes and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norms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3AC1" w:rsidRPr="00C03AC1" w:rsidRDefault="00C03AC1" w:rsidP="00C03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According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to data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the 2012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wave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of the International Social Survey Program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was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analyzed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in the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paper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, more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than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60 percent of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Austrians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agreed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when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mother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works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pay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her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young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children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probably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suffer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. By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comparison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those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in the more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egalitarian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Scandinavian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countries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felt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differently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Fewer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than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20 percent of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Danes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agreed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children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suffer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when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their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mothers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work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outside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the home.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Though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more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than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03AC1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decade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old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those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kinds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of attitudes die hard and are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backed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up by </w:t>
      </w:r>
      <w:hyperlink r:id="rId15" w:tgtFrame="_blank" w:tooltip="" w:history="1">
        <w:proofErr w:type="spellStart"/>
        <w:r w:rsidRPr="00C03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newer</w:t>
        </w:r>
        <w:proofErr w:type="spellEnd"/>
        <w:r w:rsidRPr="00C03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C03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research</w:t>
        </w:r>
        <w:proofErr w:type="spellEnd"/>
      </w:hyperlink>
      <w:r w:rsidRPr="00C03A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3AC1" w:rsidRPr="00C03AC1" w:rsidRDefault="00C03AC1" w:rsidP="00C03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Speaking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Danes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: A new </w:t>
      </w:r>
      <w:hyperlink r:id="rId16" w:tgtFrame="_blank" w:tooltip="" w:history="1">
        <w:proofErr w:type="spellStart"/>
        <w:r w:rsidRPr="00C03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paper</w:t>
        </w:r>
        <w:proofErr w:type="spellEnd"/>
      </w:hyperlink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economists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at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Lund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University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, the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University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of Amsterdam and Aarhus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University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found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for a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subset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Danish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women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, the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motherhood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penalty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disappeared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in the long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run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and, in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limited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circumstances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turned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into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a premium. The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paper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followed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earnings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trajectory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of more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than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18,000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child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-free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women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who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received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in vitro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fertilization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treatment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Denmark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where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, Time magazine </w:t>
      </w:r>
      <w:hyperlink r:id="rId17" w:tgtFrame="_blank" w:tooltip="" w:history="1">
        <w:proofErr w:type="spellStart"/>
        <w:r w:rsidRPr="00C03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reported</w:t>
        </w:r>
        <w:proofErr w:type="spellEnd"/>
      </w:hyperlink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in 2019, “the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cost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three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cycles of I.V.F. for a first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child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covered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by the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tax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financed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public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health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service” for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women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up to the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age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of 40. The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study’s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authors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then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compared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women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who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had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successful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first-round I.V.F.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treatments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ended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up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children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and the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women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who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didn’t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3AC1" w:rsidRPr="00C03AC1" w:rsidRDefault="00C03AC1" w:rsidP="00C03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women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who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had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successful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I.V.F.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treatments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had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near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term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child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penalty, and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their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earnings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dropped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below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those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of the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women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unsuccessful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treatments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. “By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Year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10,”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though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according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to the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study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>, “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successfully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treated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women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earn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much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unsuccessfully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treated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women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. And by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Year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15,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successfully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treated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women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earn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slightly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more. This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earnings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advantage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persists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throughout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remainder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of the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study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period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.”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Men’s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earnings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weren’t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affected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regardless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whether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they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became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parents.</w:t>
      </w:r>
    </w:p>
    <w:p w:rsidR="00C03AC1" w:rsidRPr="00C03AC1" w:rsidRDefault="00C03AC1" w:rsidP="00C03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my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mind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, one limitation in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interpreting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these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findings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I.V.F.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pregnancies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planned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while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over 40 percent of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pregnancies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in the United States, for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example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8" w:tgtFrame="_blank" w:tooltip="" w:history="1">
        <w:r w:rsidRPr="00C03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are </w:t>
        </w:r>
        <w:proofErr w:type="spellStart"/>
        <w:r w:rsidRPr="00C03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unplanned</w:t>
        </w:r>
        <w:proofErr w:type="spellEnd"/>
      </w:hyperlink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. One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could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imagine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women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pursuing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I.V.F.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at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various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income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levels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might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be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better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set up to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weather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career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interruption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than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women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who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have surprise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pregnancies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. But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still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03AC1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thought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provoking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finding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complicates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previous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child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gap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3AC1" w:rsidRPr="00C03AC1" w:rsidRDefault="00C03AC1" w:rsidP="00C03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In the United States,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where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gender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norms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less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progressive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than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Scandinavia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and the “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costs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for a single cycle of I.V.F. have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recently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been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estimated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to range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$15,000 to $20,000 and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can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exceed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$30,000,” </w:t>
      </w:r>
      <w:hyperlink r:id="rId19" w:tgtFrame="_blank" w:tooltip="" w:history="1">
        <w:proofErr w:type="spellStart"/>
        <w:r w:rsidRPr="00C03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according</w:t>
        </w:r>
        <w:proofErr w:type="spellEnd"/>
        <w:r w:rsidRPr="00C03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to</w:t>
        </w:r>
      </w:hyperlink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Department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Health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Human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Services,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find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very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different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experience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motherhood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pay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gap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than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Denmark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. And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it’s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much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less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happy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picture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3AC1" w:rsidRPr="00C03AC1" w:rsidRDefault="00C03AC1" w:rsidP="00C03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hyperlink r:id="rId20" w:tgtFrame="_blank" w:tooltip="" w:history="1">
        <w:proofErr w:type="spellStart"/>
        <w:r w:rsidRPr="00C03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paper</w:t>
        </w:r>
        <w:proofErr w:type="spellEnd"/>
      </w:hyperlink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published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last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year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in the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scientific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journal PNAS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looked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at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22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years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of administrative data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the United States and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found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surprisingly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robust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motherhood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penalties,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even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unfortunately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, in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circumstances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which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you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might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expect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the penalty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would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be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slim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like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female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breadwinner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families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03AC1" w:rsidRPr="00C03AC1" w:rsidRDefault="00C03AC1" w:rsidP="00C03AC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average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women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earn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57 percent more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than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men in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these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female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breadwinner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families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Were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couples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simply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seeking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maximize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household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income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conditional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on a certain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amount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of time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investment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children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would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expect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see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fatherhood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penalties.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Instead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see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one of the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largest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motherhood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penalties in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female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breadwinner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families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Indeed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higher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earning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women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experience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a 60 percent drop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prechildbirth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earnings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relative to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their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lastRenderedPageBreak/>
        <w:t>lower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earning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male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partner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and the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highest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our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various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sample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stratifications. The pattern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find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for the United States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the polar opposite of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Sweden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3AC1" w:rsidRPr="00C03AC1" w:rsidRDefault="00C03AC1" w:rsidP="00C03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There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was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also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difference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mothers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companies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were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female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led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had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majority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female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employees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. “If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anything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according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to the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authors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>, “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motherhood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penalty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grows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faster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over time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at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firms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headed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women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. On the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whole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our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findings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discouraging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even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relative to the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existing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work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motherhood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penalties.”</w:t>
      </w:r>
    </w:p>
    <w:p w:rsidR="00C03AC1" w:rsidRPr="00C03AC1" w:rsidRDefault="00C03AC1" w:rsidP="00C03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asked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one of the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paper’s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co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authors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1" w:tgtFrame="_blank" w:tooltip="" w:history="1">
        <w:r w:rsidRPr="00C03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Cecilia Machado</w:t>
        </w:r>
      </w:hyperlink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, an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economist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at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Getulio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Vargas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Foundation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, to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summarize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the state of the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motherhood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penalty in the United States. If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wanted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take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steps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improve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pay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gap as a society,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what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would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do? Via email,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she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said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there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might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be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limited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scope of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what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public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policy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workplace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policy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can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do. But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she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added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federal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workplace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policy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encouraged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both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men and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women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take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paid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parental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leave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could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help;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creating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political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conditions for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involved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fatherhood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in a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child’s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first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year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can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set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egalitarian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patterns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last a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lifetime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Still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, Machado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said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>, “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Both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these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combined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are important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policies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, but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maybe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them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alone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themselves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will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not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work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if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don’t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see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culture and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gender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norms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changing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>.”</w:t>
      </w:r>
    </w:p>
    <w:p w:rsidR="00C03AC1" w:rsidRPr="00C03AC1" w:rsidRDefault="00C03AC1" w:rsidP="00C03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My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take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we’re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in a time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when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cultural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norms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around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motherhood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in the United States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seem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particularly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contradictory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and in flux.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While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a record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high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2" w:tgtFrame="_blank" w:tooltip="" w:history="1">
        <w:proofErr w:type="spellStart"/>
        <w:r w:rsidRPr="00C03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percentage</w:t>
        </w:r>
        <w:proofErr w:type="spellEnd"/>
      </w:hyperlink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women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children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under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work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, a large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subset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Americans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still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thinks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society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would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be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better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off if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they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didn’t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3AC1" w:rsidRPr="00C03AC1" w:rsidRDefault="00C03AC1" w:rsidP="00C03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In an email, Jessica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Calarco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sociologist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at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University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of Wisconsin, Madison, and the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author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of “</w:t>
      </w:r>
      <w:hyperlink r:id="rId23" w:tgtFrame="_blank" w:tooltip="" w:history="1">
        <w:r w:rsidRPr="00C03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Holding It </w:t>
        </w:r>
        <w:proofErr w:type="spellStart"/>
        <w:r w:rsidRPr="00C03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Together</w:t>
        </w:r>
        <w:proofErr w:type="spellEnd"/>
        <w:r w:rsidRPr="00C03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: How </w:t>
        </w:r>
        <w:proofErr w:type="spellStart"/>
        <w:r w:rsidRPr="00C03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Women</w:t>
        </w:r>
        <w:proofErr w:type="spellEnd"/>
        <w:r w:rsidRPr="00C03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C03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Became</w:t>
        </w:r>
        <w:proofErr w:type="spellEnd"/>
        <w:r w:rsidRPr="00C03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C03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America’s</w:t>
        </w:r>
        <w:proofErr w:type="spellEnd"/>
        <w:r w:rsidRPr="00C03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C03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Safety</w:t>
        </w:r>
        <w:proofErr w:type="spellEnd"/>
        <w:r w:rsidRPr="00C03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Net,</w:t>
        </w:r>
      </w:hyperlink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said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03AC1" w:rsidRPr="00C03AC1" w:rsidRDefault="00C03AC1" w:rsidP="00C03AC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asked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2,000 parents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across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the U.S., “Do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you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think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children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better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off if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their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mother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home and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doesn’t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hold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a job, or are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children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just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well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off if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their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mother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works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pay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?”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Fifty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two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percent of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dads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and 42 percent of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moms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said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it’s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better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for kids if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their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moms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aren’t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working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pay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Those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attitudes are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somewhat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more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common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among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Republicans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(60 percent of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dads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and 48 percent of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moms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), but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they’re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pretty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common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among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Democrats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too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(53 percent of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dads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and 41 percent of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moms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03AC1" w:rsidRPr="00C03AC1" w:rsidRDefault="00C03AC1" w:rsidP="00C03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Until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reconcile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our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cultural ambivalence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toward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working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mothers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, I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don’t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think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the gap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going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get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any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better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Maybe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another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20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years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we’ll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get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another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3AC1">
        <w:rPr>
          <w:rFonts w:ascii="Times New Roman" w:eastAsia="Times New Roman" w:hAnsi="Times New Roman" w:cs="Times New Roman"/>
          <w:sz w:val="24"/>
          <w:szCs w:val="24"/>
        </w:rPr>
        <w:t>two</w:t>
      </w:r>
      <w:proofErr w:type="spellEnd"/>
      <w:r w:rsidRPr="00C03AC1">
        <w:rPr>
          <w:rFonts w:ascii="Times New Roman" w:eastAsia="Times New Roman" w:hAnsi="Times New Roman" w:cs="Times New Roman"/>
          <w:sz w:val="24"/>
          <w:szCs w:val="24"/>
        </w:rPr>
        <w:t xml:space="preserve"> cents.</w:t>
      </w:r>
    </w:p>
    <w:p w:rsidR="00000000" w:rsidRDefault="00C03AC1"/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85279"/>
    <w:multiLevelType w:val="multilevel"/>
    <w:tmpl w:val="5D923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634B07"/>
    <w:multiLevelType w:val="multilevel"/>
    <w:tmpl w:val="65341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proofState w:spelling="clean" w:grammar="clean"/>
  <w:defaultTabStop w:val="708"/>
  <w:hyphenationZone w:val="425"/>
  <w:characterSpacingControl w:val="doNotCompress"/>
  <w:compat>
    <w:useFELayout/>
  </w:compat>
  <w:rsids>
    <w:rsidRoot w:val="00C03AC1"/>
    <w:rsid w:val="00C03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C03A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rsid w:val="00C03A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03A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rsid w:val="00C03AC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ss-iwa86d">
    <w:name w:val="css-iwa86d"/>
    <w:basedOn w:val="Policepardfaut"/>
    <w:rsid w:val="00C03AC1"/>
  </w:style>
  <w:style w:type="character" w:customStyle="1" w:styleId="iqsoiaaccessibilitylabel">
    <w:name w:val="iqsoia_accessibilitylabel"/>
    <w:basedOn w:val="Policepardfaut"/>
    <w:rsid w:val="00C03AC1"/>
  </w:style>
  <w:style w:type="character" w:styleId="Lienhypertexte">
    <w:name w:val="Hyperlink"/>
    <w:basedOn w:val="Policepardfaut"/>
    <w:uiPriority w:val="99"/>
    <w:semiHidden/>
    <w:unhideWhenUsed/>
    <w:rsid w:val="00C03AC1"/>
    <w:rPr>
      <w:color w:val="0000FF"/>
      <w:u w:val="single"/>
    </w:rPr>
  </w:style>
  <w:style w:type="paragraph" w:customStyle="1" w:styleId="css-1tx0lhj">
    <w:name w:val="css-1tx0lhj"/>
    <w:basedOn w:val="Normal"/>
    <w:rsid w:val="00C03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yline-prefix">
    <w:name w:val="byline-prefix"/>
    <w:basedOn w:val="Policepardfaut"/>
    <w:rsid w:val="00C03AC1"/>
  </w:style>
  <w:style w:type="paragraph" w:customStyle="1" w:styleId="css-1npznau">
    <w:name w:val="css-1npznau"/>
    <w:basedOn w:val="Normal"/>
    <w:rsid w:val="00C03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s-1dx7gx1">
    <w:name w:val="css-1dx7gx1"/>
    <w:basedOn w:val="Policepardfaut"/>
    <w:rsid w:val="00C03AC1"/>
  </w:style>
  <w:style w:type="character" w:customStyle="1" w:styleId="css-1uk1gs8">
    <w:name w:val="css-1uk1gs8"/>
    <w:basedOn w:val="Policepardfaut"/>
    <w:rsid w:val="00C03AC1"/>
  </w:style>
  <w:style w:type="character" w:customStyle="1" w:styleId="css-im3bau">
    <w:name w:val="css-im3bau"/>
    <w:basedOn w:val="Policepardfaut"/>
    <w:rsid w:val="00C03AC1"/>
  </w:style>
  <w:style w:type="paragraph" w:customStyle="1" w:styleId="css-140ip4z">
    <w:name w:val="css-140ip4z"/>
    <w:basedOn w:val="Normal"/>
    <w:rsid w:val="00C03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03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s-15zy5qw">
    <w:name w:val="css-15zy5qw"/>
    <w:basedOn w:val="Normal"/>
    <w:rsid w:val="00C03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s-1e1r8ex">
    <w:name w:val="css-1e1r8ex"/>
    <w:basedOn w:val="Normal"/>
    <w:rsid w:val="00C03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3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3A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4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9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4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2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92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70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25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53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86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0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6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1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0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5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6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2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7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9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2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798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9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055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es.ed.gov/programs/coe/indicator/cba/annual-earnings" TargetMode="External"/><Relationship Id="rId13" Type="http://schemas.openxmlformats.org/officeDocument/2006/relationships/hyperlink" Target="https://www.bundeskanzleramt.gv.at/en/agenda/family/family-benefits/childcare-allowance.html" TargetMode="External"/><Relationship Id="rId18" Type="http://schemas.openxmlformats.org/officeDocument/2006/relationships/hyperlink" Target="https://health.gov/healthypeople/objectives-and-data/browse-objectives/family-plannin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ites.google.com/site/machadoc/" TargetMode="External"/><Relationship Id="rId7" Type="http://schemas.openxmlformats.org/officeDocument/2006/relationships/hyperlink" Target="https://www.pewtrusts.org/en/trust/archive/winter-2023/women-now-outnumber-men-in-the-us-college-educated-labor-force" TargetMode="External"/><Relationship Id="rId12" Type="http://schemas.openxmlformats.org/officeDocument/2006/relationships/hyperlink" Target="https://ysph.yale.edu/news-article/austrias-paid-maternity-leave/" TargetMode="External"/><Relationship Id="rId17" Type="http://schemas.openxmlformats.org/officeDocument/2006/relationships/hyperlink" Target="https://time.com/5491636/denmark-ivf-storkklinik-fertility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ocs.iza.org/dp16959.pdf" TargetMode="External"/><Relationship Id="rId20" Type="http://schemas.openxmlformats.org/officeDocument/2006/relationships/hyperlink" Target="https://www.pnas.org/doi/10.1073/pnas.22097401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pewresearch.org/social-trends/2023/03/01/the-enduring-grip-of-the-gender-pay-gap/" TargetMode="External"/><Relationship Id="rId11" Type="http://schemas.openxmlformats.org/officeDocument/2006/relationships/hyperlink" Target="https://www.nber.org/papers/w30176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nytimes.com/by/jessica-grose" TargetMode="External"/><Relationship Id="rId15" Type="http://schemas.openxmlformats.org/officeDocument/2006/relationships/hyperlink" Target="https://www.spstrend.it/changing-attitudes-toward-gender-roles-evidence-from-three-european-countries/" TargetMode="External"/><Relationship Id="rId23" Type="http://schemas.openxmlformats.org/officeDocument/2006/relationships/hyperlink" Target="https://www.penguinrandomhouse.com/books/697130/holding-it-together-by-jessica-calarco/" TargetMode="External"/><Relationship Id="rId10" Type="http://schemas.openxmlformats.org/officeDocument/2006/relationships/hyperlink" Target="https://www.nber.org/papers/w31649" TargetMode="External"/><Relationship Id="rId19" Type="http://schemas.openxmlformats.org/officeDocument/2006/relationships/hyperlink" Target="https://www.hhs.gov/about/news/2024/03/13/fact-sheet-in-vitro-fertilization-ivf-use-across-united-state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ytimes.com/2017/05/13/upshot/the-gender-pay-gap-is-largely-because-of-motherhood.html" TargetMode="External"/><Relationship Id="rId14" Type="http://schemas.openxmlformats.org/officeDocument/2006/relationships/hyperlink" Target="https://www.nber.org/papers/w28082" TargetMode="External"/><Relationship Id="rId22" Type="http://schemas.openxmlformats.org/officeDocument/2006/relationships/hyperlink" Target="https://www.axios.com/2023/09/01/working-mothers-labor-market-women-equality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1686</Words>
  <Characters>9278</Characters>
  <Application>Microsoft Office Word</Application>
  <DocSecurity>0</DocSecurity>
  <Lines>77</Lines>
  <Paragraphs>21</Paragraphs>
  <ScaleCrop>false</ScaleCrop>
  <Company/>
  <LinksUpToDate>false</LinksUpToDate>
  <CharactersWithSpaces>10943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dcterms:created xsi:type="dcterms:W3CDTF">2026-07-03T07:36:00Z</dcterms:created>
  <dcterms:modified xsi:type="dcterms:W3CDTF">2026-07-03T07:37:00Z</dcterms:modified>
</cp:coreProperties>
</file>