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jc w:val="center"/>
        <w:pBdr>
          <w:top w:val="single" w:color="000000" w:sz="2" w:space="1"/>
          <w:left w:val="single" w:color="000000" w:sz="2" w:space="1"/>
          <w:bottom w:val="single" w:color="000000" w:sz="2" w:space="1"/>
          <w:right w:val="single" w:color="000000" w:sz="2" w:space="1"/>
        </w:pBdr>
      </w:pPr>
      <w:r>
        <w:rPr>
          <w:b/>
          <w:bCs/>
          <w:sz w:val="28"/>
          <w:szCs w:val="28"/>
        </w:rPr>
        <w:t xml:space="preserve">Structurer une démonstration</w:t>
      </w:r>
      <w:r/>
    </w:p>
    <w:p>
      <w:pPr>
        <w:pStyle w:val="609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Pour introduire :</w:t>
      </w:r>
      <w:r/>
    </w:p>
    <w:p>
      <w:pPr>
        <w:pStyle w:val="609"/>
        <w:rPr>
          <w:sz w:val="24"/>
          <w:szCs w:val="24"/>
        </w:rPr>
      </w:pPr>
      <w:r>
        <w:rPr>
          <w:sz w:val="24"/>
          <w:szCs w:val="24"/>
        </w:rPr>
        <w:t xml:space="preserve">De manière générale, vous devez trouver une accroche qui montre l’intérêt du sujet, par exemple un parallèle entre avant et aujourd’hui.</w:t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To begin with / to start with 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: pour commencer avec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the first place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premier lieu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Following the recent/striking/unexpected/dramatic development of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Suite au développement récent/frappant/inattendu/spectaculaire (souvent faux-ami) 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a context of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Dans un contexte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At a time when the issue of … is increasingly debated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: A l’heure où … est de plus en plus débattu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the recent years … became a matter of common concern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Au cours des dernières années, … est devenu une question d’intérêt commun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the wake of (what happened in)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en raison de (ce qu’il s’est passé à/en)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Pour définir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…</w:t>
            </w: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can be defined as the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…. : …peut être défini comme….</w:t>
            </w:r>
            <w:r/>
          </w:p>
          <w:p>
            <w:pPr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r>
            <w:r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r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sz w:val="24"/>
                <w:szCs w:val="24"/>
                <w:lang w:val="en-AU" w:eastAsia="en-US" w:bidi="ar-SA"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Pour entrer dans le vif du sujet :</w:t>
            </w:r>
            <w:r/>
          </w:p>
          <w:p>
            <w:pPr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r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Aside from …, what is really at stake here is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… : A part …, ce qui est vraiment en jeu ici, c’est 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… </w:t>
            </w: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has long been a bone of contention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… a longtemps été un point de discorde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It is universally acknowledged that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Il est universellement reconnu que…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However one cannot disregard the fact that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… : Cependant, on ne peut ignorer le fait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</w:r>
            <w:r/>
          </w:p>
        </w:tc>
      </w:tr>
    </w:tbl>
    <w:p>
      <w:pPr>
        <w:pStyle w:val="609"/>
        <w:numPr>
          <w:ilvl w:val="0"/>
          <w:numId w:val="0"/>
        </w:numPr>
        <w:ind w:left="720" w:firstLine="0"/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pStyle w:val="609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Pour annoncer des idées :</w:t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Premier paragraphe :</w:t>
            </w:r>
            <w:r/>
          </w:p>
          <w:p>
            <w:pPr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r>
            <w:r>
              <w:rPr>
                <w:rFonts w:eastAsia="Calibri"/>
                <w:b/>
                <w:bCs/>
                <w:sz w:val="24"/>
                <w:szCs w:val="24"/>
                <w:highlight w:val="none"/>
                <w:u w:val="single"/>
                <w:lang w:val="fr-FR" w:eastAsia="en-US" w:bidi="ar-SA"/>
              </w:rPr>
            </w:r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The first point I’d like to raise is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… : le premier point que j’aimerais souligner est…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Almost a year after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presqu’un an après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Both the US and the UK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les Etats-Unis ainsi que le Royaume-Uni…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It is a no-brainer to admit that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c’est une évidence de reconnaître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There is little doubt that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il y a peu de doutes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No wonder if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Ce n’est pas étonnant si…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Not to mention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sans parler du fait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u w:val="single"/>
                <w:lang w:val="fr-FR" w:eastAsia="en-US" w:bidi="ar-SA"/>
              </w:rPr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Deuxième paragraphe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Another point to consider/to underline is whether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…  : un autre point à souligner est de savoir si…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Of course, a contrary opinion might be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… : bien sûr, une opinion contraire pourrait être….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If … is obviously a way for these countries to…, it is also about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Si …. est de toute évidence un moyen pour ces pays de…, il s’agit aussi de…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However  … may be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, … : quoi qu’il en soit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What is really at stake here is/ The issue at stake is 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: Ce qui est vraiment important/en jeu ici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No matter how/what 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…. : Peu importe…</w:t>
            </w:r>
            <w:r/>
          </w:p>
        </w:tc>
      </w:tr>
    </w:tbl>
    <w:p>
      <w:pPr>
        <w:pStyle w:val="6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Exprimer la coordination: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fact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fait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Besides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d’ailleurs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Furthermore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de plus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Indeed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effet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Consequently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par conséquent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Nevertheless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néanmoins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far as … is concerned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ce qui concerne …</w:t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Despite the fact that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malgré le fait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At first sight … on second thoughts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… : à première vue …, en y repensant 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any case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dans tous les cas, de toute façon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most cases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dans la plupart des cas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Then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puis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To some extent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dans une certaine mesure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u w:val="non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none"/>
                <w:lang w:val="fr-FR" w:eastAsia="en-US" w:bidi="ar-SA"/>
              </w:rPr>
              <w:t xml:space="preserve">From a … point of view</w:t>
            </w:r>
            <w:r>
              <w:rPr>
                <w:rFonts w:eastAsia="Calibri"/>
                <w:sz w:val="24"/>
                <w:szCs w:val="24"/>
                <w:u w:val="none"/>
                <w:lang w:val="fr-FR" w:eastAsia="en-US" w:bidi="ar-SA"/>
              </w:rPr>
              <w:t xml:space="preserve"> : du point de vue de …</w:t>
            </w:r>
            <w:r/>
          </w:p>
        </w:tc>
      </w:tr>
    </w:tbl>
    <w:p>
      <w:pPr>
        <w:pStyle w:val="609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Exprimer l’addition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well as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aussi bien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Not only … but also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non seulement … mais aussi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Moreover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de plus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By the way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: au fait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In other words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 : en d’autres termes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On top of that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: de plus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this respect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cet égard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u w:val="single"/>
                <w:lang w:val="fr-FR" w:eastAsia="en-US" w:bidi="ar-SA"/>
              </w:rPr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Exprimer l’opposition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Instead of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la place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Nevertheless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néanmoins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Otherwise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dans le cas contraire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Else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sinon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Whereas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tandis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Unlike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la différence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Yet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pourtant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However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cependant, toutefois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tough = as if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 : comme si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comparison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comparaison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On the contrary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au contraire</w:t>
            </w:r>
            <w:r/>
          </w:p>
        </w:tc>
      </w:tr>
    </w:tbl>
    <w:p>
      <w:pPr>
        <w:pStyle w:val="609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Exprimer la condition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Provided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condition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Unless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moins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long as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du moment que, à condition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case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au cas où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Supposing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supposer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Thanks to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 grâce à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Due to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dû au fait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Given that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étant donné que</w:t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u w:val="single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Donner des exemples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For example = For instance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par exemple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This includes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il s’agit notamment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Such as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tel(les)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Namely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savoir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Above all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par-dessus tout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exemplified by = as testified by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comme en témoignent 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</w:r>
            <w:r/>
          </w:p>
        </w:tc>
      </w:tr>
    </w:tbl>
    <w:p>
      <w:pPr>
        <w:pStyle w:val="609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9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Adverbes</w:t>
      </w:r>
      <w:r>
        <w:rPr>
          <w:sz w:val="24"/>
          <w:szCs w:val="24"/>
          <w:u w:val="single"/>
        </w:rPr>
        <w:t xml:space="preserve"> :</w:t>
      </w:r>
      <w:r/>
    </w:p>
    <w:p>
      <w:pPr>
        <w:pStyle w:val="609"/>
        <w:rPr>
          <w:sz w:val="24"/>
          <w:szCs w:val="24"/>
        </w:rPr>
      </w:pPr>
      <w:r>
        <w:rPr>
          <w:sz w:val="24"/>
          <w:szCs w:val="24"/>
        </w:rPr>
        <w:t xml:space="preserve">Sachez que les adverbes sont très appréciés en anglais puisqu’ils sont plus précis que les verbes de coordination que l’on a plus tendance à utiliser en français.</w:t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Actually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fait, en vérité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Admittedly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Certes, il est vrai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Arguably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On peut soutenir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Clearly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Manifestement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Ironically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Ironiquement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Justifiably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juste titre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Likely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Probablement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Naturally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Naturellement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Obviously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Évidemment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Paradoxically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Paradoxalement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Presumably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Vraisemblablement</w:t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Significantly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De manière significative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Surely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Sûrement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Similarly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de même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Supposedly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Soi-disant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Thus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Ainsi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Therefore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Par conséquent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Ultimately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En fin de compte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Unfortunately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Malheureusement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Undeniably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Indéniablement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Sadly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Malheureusement</w:t>
            </w:r>
            <w:r/>
          </w:p>
        </w:tc>
      </w:tr>
    </w:tbl>
    <w:p>
      <w:pPr>
        <w:pStyle w:val="609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9"/>
        <w:numPr>
          <w:ilvl w:val="0"/>
          <w:numId w:val="3"/>
        </w:num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Pour finir :</w:t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 w:bidi="ar-SA"/>
              </w:rPr>
              <w:t xml:space="preserve">Conclure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As a result of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à la suite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In order to 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: dans le but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To this end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: à cet effet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sz w:val="24"/>
                <w:szCs w:val="24"/>
                <w:lang w:val="fr-FR" w:eastAsia="en-US" w:bidi="ar-SA"/>
              </w:rPr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b/>
                <w:bCs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Prise de position ou perspective d’avenir :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sz w:val="24"/>
                <w:szCs w:val="24"/>
                <w:lang w:val="en-AU" w:eastAsia="en-US" w:bidi="ar-SA"/>
              </w:rPr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To round off the demonstration, I should say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: Pour clore la démonstration, je dois dire…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 w:eastAsia="en-US" w:bidi="ar-SA"/>
              </w:rPr>
              <w:t xml:space="preserve">Ultimately, then:</w:t>
            </w:r>
            <w:r>
              <w:rPr>
                <w:rFonts w:eastAsia="Calibri"/>
                <w:sz w:val="24"/>
                <w:szCs w:val="24"/>
                <w:lang w:val="fr-FR" w:eastAsia="en-US" w:bidi="ar-SA"/>
              </w:rPr>
              <w:t xml:space="preserve"> En fin de compte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4"/>
                <w:szCs w:val="24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AU" w:eastAsia="en-US" w:bidi="ar-SA"/>
              </w:rPr>
              <w:t xml:space="preserve">As a matter of fact all this goes to show that</w:t>
            </w:r>
            <w:r>
              <w:rPr>
                <w:rFonts w:eastAsia="Calibri"/>
                <w:sz w:val="24"/>
                <w:szCs w:val="24"/>
                <w:lang w:val="en-AU" w:eastAsia="en-US" w:bidi="ar-SA"/>
              </w:rPr>
              <w:t xml:space="preserve"> : En fait, tout cela prouve que</w:t>
            </w:r>
            <w:r/>
          </w:p>
        </w:tc>
      </w:tr>
    </w:tbl>
    <w:p>
      <w:pPr>
        <w:pStyle w:val="609"/>
        <w:jc w:val="center"/>
        <w:rPr>
          <w:b/>
          <w:bCs/>
          <w:sz w:val="28"/>
          <w:szCs w:val="28"/>
        </w:rPr>
        <w:pBdr>
          <w:top w:val="single" w:color="000000" w:sz="2" w:space="1"/>
          <w:left w:val="single" w:color="000000" w:sz="2" w:space="1"/>
          <w:bottom w:val="single" w:color="000000" w:sz="2" w:space="1"/>
          <w:right w:val="single" w:color="000000" w:sz="2" w:space="1"/>
        </w:pBdr>
      </w:pPr>
      <w:r>
        <w:rPr>
          <w:b/>
          <w:bCs/>
          <w:sz w:val="28"/>
          <w:szCs w:val="28"/>
        </w:rPr>
        <w:t xml:space="preserve">Vocabulaire utile</w:t>
      </w:r>
      <w:r/>
    </w:p>
    <w:p>
      <w:pPr>
        <w:pStyle w:val="609"/>
        <w:rPr>
          <w:b/>
          <w:bCs/>
        </w:rPr>
      </w:pPr>
      <w:r>
        <w:rPr>
          <w:b/>
          <w:bCs/>
          <w:u w:val="single"/>
        </w:rPr>
        <w:t xml:space="preserve">Verbes :</w:t>
      </w:r>
      <w:r/>
    </w:p>
    <w:tbl>
      <w:tblPr>
        <w:tblStyle w:val="619"/>
        <w:tblW w:w="10435" w:type="dxa"/>
        <w:tblInd w:w="2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9"/>
        <w:gridCol w:w="5235"/>
      </w:tblGrid>
      <w:tr>
        <w:trPr/>
        <w:tc>
          <w:tcPr>
            <w:tcW w:w="5199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affect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toucher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concern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concerner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attempt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tenter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raise awareness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ensibilier / attirer l’attention sur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fuel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alimenter (le débat par exemple)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cluster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se rassembler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foster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encourager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bolster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soutenir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spur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(the economy) = to stimulate : stimuler (l’économie)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galvanize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galvanizer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bring about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réaliser, amener, entraîner (un changement par exemple)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stem from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provenir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epitomize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résumer, illustrer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come up with an answer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trouver une réponse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make a profit out of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se faire du profit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shrink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rétrécir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a watershed event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un événement marquant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on the wane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sur le déclin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a far cry from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loin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come to grips with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réussir à comprendre, maîtriser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doomed to fail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condamné à l’échec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keep at bay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se tenir à distance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all the rage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en vogue, faire fureur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cast a ballot 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: voter, remplir un bulletin de vote, participer à un scrutin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stand for +ing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être pour, défendre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encounter a problem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rencontrer un problème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on the verge of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sur le point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bound to fail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voué à l’échec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go hand in hand with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aller de pair avec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brush aside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écarter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cave into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céder à</w:t>
            </w:r>
            <w:r/>
          </w:p>
        </w:tc>
        <w:tc>
          <w:tcPr>
            <w:tcW w:w="5235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prevent people from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voting (bien penser au -ING) : empêcher les gens de voter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pursue new avenues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rechercher de nouvelles pistes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run counter to 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: aller à l’encontre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assert one’s supremacy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affirmer sa suprématie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do likewise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faire de même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address a problem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s’occuper d’un problème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raise the question about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soulever la question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pave the way for/To lay the groundwork for :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préparer le terrain pour/ouvrir la voie à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all at sea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ne rien y comprendre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keep one’s chin up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garder la tête haute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act on the sly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agir en douce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as easy as a pie :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être simple comme bonjour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pass with flying colors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réussir haut la main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compound a problem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aggraver un problème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have a grip on something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avoir une prise sur qqch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on the edge of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au bord du gouffre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start from scratch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repartir de zéro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pull the wool over someone’s eyes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faire croire n’importe quoi à quelqu’un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gain ground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gagner du terrain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undergo hardship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être en difficulté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blow the whistle on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dénoncer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frown upon a decision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désapprouver une décision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find a happy medium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trouver un juste milieu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trigger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déclencher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drag down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tirer vers le bas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lag behind :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rester à la traîne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arouse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susciter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pay lip service to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se déclarer favorable à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clamp down on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mettre un frein à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To make matters worse 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: empirer les choses OU pour ne pas arranger la situation (ironique)</w:t>
            </w:r>
            <w:r/>
          </w:p>
        </w:tc>
      </w:tr>
    </w:tbl>
    <w:p>
      <w:pPr>
        <w:pStyle w:val="609"/>
      </w:pPr>
      <w:r/>
      <w:r/>
    </w:p>
    <w:p>
      <w:pPr>
        <w:pStyle w:val="609"/>
      </w:pP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Groupes de mots et expressions idiomatiques</w:t>
      </w:r>
      <w:r/>
    </w:p>
    <w:tbl>
      <w:tblPr>
        <w:tblStyle w:val="619"/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8"/>
        <w:gridCol w:w="5227"/>
      </w:tblGrid>
      <w:tr>
        <w:trPr/>
        <w:tc>
          <w:tcPr>
            <w:tcW w:w="5228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as described by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comme décrit par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unless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(you) : à moins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meanwhile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pendant ce temps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The outcome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l’aboutissement, le résultat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students took the street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des étudiants sont allés dans la rue (comprendre : manifester)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The crux of the problem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le noeud du problème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The advent of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l’avénement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A burst of 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: une explosion de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make money out of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se faire de l’argent sur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with the aim of +V-ing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dans le but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sz w:val="22"/>
                <w:szCs w:val="22"/>
                <w:lang w:val="fr-FR" w:eastAsia="en-US" w:bidi="ar-SA"/>
              </w:rPr>
            </w:r>
            <w:r/>
          </w:p>
        </w:tc>
        <w:tc>
          <w:tcPr>
            <w:tcW w:w="5227" w:type="dxa"/>
            <w:textDirection w:val="lrTb"/>
            <w:noWrap w:val="false"/>
          </w:tcPr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For the sake of 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: dans l’intérêt de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a pillar of the economy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un pilier de l’économie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this feeling is fostered by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ce sentiment est favorisé par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worse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: pire 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be it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... : que ce soit ...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under certain conditions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sous certaines conditions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AU" w:eastAsia="en-US" w:bidi="ar-SA"/>
              </w:rPr>
              <w:t xml:space="preserve">to be (not) likely to</w:t>
            </w:r>
            <w:r>
              <w:rPr>
                <w:rFonts w:eastAsia="Calibri"/>
                <w:sz w:val="22"/>
                <w:szCs w:val="22"/>
                <w:lang w:val="en-AU" w:eastAsia="en-US" w:bidi="ar-SA"/>
              </w:rPr>
              <w:t xml:space="preserve"> = il y a (peu) des chances pour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needless to say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il va s’en dire que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a puzzling fact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un fait troublant</w:t>
            </w:r>
            <w:r/>
          </w:p>
          <w:p>
            <w:pPr>
              <w:pStyle w:val="609"/>
              <w:jc w:val="left"/>
              <w:spacing w:before="0" w:after="0" w:line="240" w:lineRule="auto"/>
              <w:widowControl w:val="off"/>
              <w:rPr>
                <w:rFonts w:ascii="Calibri" w:hAnsi="Calibri" w:eastAsia="Calibri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fr-FR" w:eastAsia="en-US" w:bidi="ar-SA"/>
              </w:rPr>
              <w:t xml:space="preserve">it comes as no surprises that</w:t>
            </w:r>
            <w:r>
              <w:rPr>
                <w:rFonts w:eastAsia="Calibri"/>
                <w:sz w:val="22"/>
                <w:szCs w:val="22"/>
                <w:lang w:val="fr-FR" w:eastAsia="en-US" w:bidi="ar-SA"/>
              </w:rPr>
              <w:t xml:space="preserve"> : ce n’est pas surprenant que</w:t>
            </w:r>
            <w:r/>
          </w:p>
        </w:tc>
      </w:tr>
    </w:tbl>
    <w:p>
      <w:pPr>
        <w:pStyle w:val="609"/>
        <w:spacing w:before="0" w:after="160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Microsoft YaHei">
    <w:panose1 w:val="020B0503020204020204"/>
  </w:font>
  <w:font w:name="Open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0" w:hanging="360"/>
        <w:tabs>
          <w:tab w:val="num" w:pos="77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130" w:hanging="360"/>
        <w:tabs>
          <w:tab w:val="num" w:pos="113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90" w:hanging="360"/>
        <w:tabs>
          <w:tab w:val="num" w:pos="149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50" w:hanging="360"/>
        <w:tabs>
          <w:tab w:val="num" w:pos="185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210" w:hanging="360"/>
        <w:tabs>
          <w:tab w:val="num" w:pos="221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70" w:hanging="360"/>
        <w:tabs>
          <w:tab w:val="num" w:pos="257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930" w:hanging="360"/>
        <w:tabs>
          <w:tab w:val="num" w:pos="293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90" w:hanging="360"/>
        <w:tabs>
          <w:tab w:val="num" w:pos="329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50" w:hanging="360"/>
        <w:tabs>
          <w:tab w:val="num" w:pos="365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9"/>
    <w:next w:val="6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9"/>
    <w:next w:val="6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9"/>
    <w:next w:val="6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9"/>
    <w:next w:val="6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9"/>
    <w:next w:val="6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0"/>
    <w:link w:val="34"/>
    <w:uiPriority w:val="10"/>
    <w:rPr>
      <w:sz w:val="48"/>
      <w:szCs w:val="48"/>
    </w:rPr>
  </w:style>
  <w:style w:type="paragraph" w:styleId="36">
    <w:name w:val="Subtitle"/>
    <w:basedOn w:val="609"/>
    <w:next w:val="6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0"/>
    <w:link w:val="36"/>
    <w:uiPriority w:val="11"/>
    <w:rPr>
      <w:sz w:val="24"/>
      <w:szCs w:val="24"/>
    </w:rPr>
  </w:style>
  <w:style w:type="paragraph" w:styleId="38">
    <w:name w:val="Quote"/>
    <w:basedOn w:val="609"/>
    <w:next w:val="6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9"/>
    <w:next w:val="6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0"/>
    <w:link w:val="42"/>
    <w:uiPriority w:val="99"/>
  </w:style>
  <w:style w:type="paragraph" w:styleId="44">
    <w:name w:val="Footer"/>
    <w:basedOn w:val="6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0"/>
    <w:link w:val="44"/>
    <w:uiPriority w:val="99"/>
  </w:style>
  <w:style w:type="character" w:styleId="47">
    <w:name w:val="Caption Char"/>
    <w:basedOn w:val="615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0"/>
    <w:uiPriority w:val="99"/>
    <w:unhideWhenUsed/>
    <w:rPr>
      <w:vertAlign w:val="superscript"/>
    </w:rPr>
  </w:style>
  <w:style w:type="paragraph" w:styleId="178">
    <w:name w:val="endnote text"/>
    <w:basedOn w:val="6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0"/>
    <w:uiPriority w:val="99"/>
    <w:semiHidden/>
    <w:unhideWhenUsed/>
    <w:rPr>
      <w:vertAlign w:val="superscript"/>
    </w:rPr>
  </w:style>
  <w:style w:type="paragraph" w:styleId="181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fr-FR" w:eastAsia="en-US" w:bidi="ar-SA"/>
    </w:rPr>
  </w:style>
  <w:style w:type="character" w:styleId="610" w:default="1">
    <w:name w:val="Default Paragraph Font"/>
    <w:uiPriority w:val="1"/>
    <w:semiHidden/>
    <w:unhideWhenUsed/>
    <w:qFormat/>
  </w:style>
  <w:style w:type="character" w:styleId="611">
    <w:name w:val="Puces"/>
    <w:qFormat/>
    <w:rPr>
      <w:rFonts w:ascii="OpenSymbol" w:hAnsi="OpenSymbol" w:eastAsia="OpenSymbol" w:cs="OpenSymbol"/>
    </w:rPr>
  </w:style>
  <w:style w:type="paragraph" w:styleId="612">
    <w:name w:val="Titre"/>
    <w:basedOn w:val="609"/>
    <w:next w:val="613"/>
    <w:qFormat/>
    <w:pPr>
      <w:keepNext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613">
    <w:name w:val="Body Text"/>
    <w:basedOn w:val="609"/>
    <w:pPr>
      <w:spacing w:before="0" w:after="140" w:line="276" w:lineRule="auto"/>
    </w:pPr>
  </w:style>
  <w:style w:type="paragraph" w:styleId="614">
    <w:name w:val="List"/>
    <w:basedOn w:val="613"/>
    <w:rPr>
      <w:rFonts w:ascii="Calibri" w:hAnsi="Calibri" w:cs="Arial"/>
    </w:rPr>
  </w:style>
  <w:style w:type="paragraph" w:styleId="615">
    <w:name w:val="Caption"/>
    <w:basedOn w:val="609"/>
    <w:qFormat/>
    <w:pPr>
      <w:spacing w:before="120" w:after="120"/>
      <w:suppressLineNumbers/>
    </w:pPr>
    <w:rPr>
      <w:rFonts w:ascii="Calibri" w:hAnsi="Calibri" w:cs="Arial"/>
      <w:i/>
      <w:iCs/>
      <w:sz w:val="24"/>
      <w:szCs w:val="24"/>
    </w:rPr>
  </w:style>
  <w:style w:type="paragraph" w:styleId="616">
    <w:name w:val="Index"/>
    <w:basedOn w:val="609"/>
    <w:qFormat/>
    <w:pPr>
      <w:suppressLineNumbers/>
    </w:pPr>
    <w:rPr>
      <w:rFonts w:ascii="Calibri" w:hAnsi="Calibri" w:cs="Arial"/>
    </w:rPr>
  </w:style>
  <w:style w:type="numbering" w:styleId="617" w:default="1">
    <w:name w:val="No List"/>
    <w:uiPriority w:val="99"/>
    <w:semiHidden/>
    <w:unhideWhenUsed/>
    <w:qFormat/>
  </w:style>
  <w:style w:type="table" w:styleId="61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19">
    <w:name w:val="Table Grid"/>
    <w:basedOn w:val="6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Godefroy</dc:creator>
  <dc:description/>
  <dc:language>fr-FR</dc:language>
  <cp:revision>6</cp:revision>
  <dcterms:created xsi:type="dcterms:W3CDTF">2022-03-11T09:34:00Z</dcterms:created>
  <dcterms:modified xsi:type="dcterms:W3CDTF">2023-09-05T12:11:39Z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