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D47C" w14:textId="0451E751" w:rsidR="00B15AC3" w:rsidRDefault="00396450">
      <w:r>
        <w:t>Bonjour ou rebonjour à tous,</w:t>
      </w:r>
    </w:p>
    <w:p w14:paraId="5523B3F7" w14:textId="55BBE4A5" w:rsidR="00396450" w:rsidRDefault="00396450"/>
    <w:p w14:paraId="0D0D12A8" w14:textId="3B2AA4C4" w:rsidR="00396450" w:rsidRDefault="00396450">
      <w:r>
        <w:t>De</w:t>
      </w:r>
      <w:r w:rsidR="0018152E">
        <w:t>s</w:t>
      </w:r>
      <w:r>
        <w:t xml:space="preserve"> compléments concernant le TP glycine de ce matin, pour le demi-groupe qui a eu TP :</w:t>
      </w:r>
    </w:p>
    <w:p w14:paraId="0902F650" w14:textId="4A6AF166" w:rsidR="00396450" w:rsidRDefault="00396450" w:rsidP="00396450">
      <w:pPr>
        <w:pStyle w:val="Paragraphedeliste"/>
        <w:numPr>
          <w:ilvl w:val="0"/>
          <w:numId w:val="1"/>
        </w:numPr>
      </w:pPr>
      <w:proofErr w:type="gramStart"/>
      <w:r>
        <w:t>le</w:t>
      </w:r>
      <w:proofErr w:type="gramEnd"/>
      <w:r>
        <w:t xml:space="preserve"> lien vers les résultats « professeur » et un traitement avec Python des données expérimentales :</w:t>
      </w:r>
    </w:p>
    <w:p w14:paraId="5115C459" w14:textId="4CD86DFF" w:rsidR="00396450" w:rsidRPr="00396450" w:rsidRDefault="00396450" w:rsidP="00396450">
      <w:pPr>
        <w:spacing w:after="0"/>
        <w:rPr>
          <w:rFonts w:cstheme="minorHAnsi"/>
        </w:rPr>
      </w:pPr>
      <w:hyperlink r:id="rId5" w:history="1">
        <w:r w:rsidRPr="004E5E66">
          <w:rPr>
            <w:rStyle w:val="Lienhypertexte"/>
            <w:rFonts w:cstheme="minorHAnsi"/>
          </w:rPr>
          <w:t>https://colab.research.google.com/drive/1bA0wgIhOXrHHxBWh0V3LwmhzvTfSpQnP?usp=sharing</w:t>
        </w:r>
      </w:hyperlink>
    </w:p>
    <w:p w14:paraId="6642D308" w14:textId="0533DF08" w:rsidR="00C77B20" w:rsidRDefault="00C77B20" w:rsidP="00396450">
      <w:r>
        <w:t xml:space="preserve">Ne pas perdre de temps à regarder ce fichier google </w:t>
      </w:r>
      <w:proofErr w:type="spellStart"/>
      <w:r>
        <w:t>colab</w:t>
      </w:r>
      <w:proofErr w:type="spellEnd"/>
      <w:r>
        <w:t> ; si vous voulez le modifier pour vous, cliquer sur l’onglet fichier/enregistrer une copie. Vous pouvez vous contenter de revoir les graphes si vous aviez oublié leur allure, et vous disposez si vous voulez de tous les scripts pour retracer ces graphes avec vos valeurs.</w:t>
      </w:r>
    </w:p>
    <w:p w14:paraId="7BEE6F61" w14:textId="77777777" w:rsidR="00C77B20" w:rsidRDefault="00C77B20" w:rsidP="00396450"/>
    <w:p w14:paraId="530FAC80" w14:textId="779C6DEE" w:rsidR="00C77B20" w:rsidRDefault="00C77B20" w:rsidP="00C77B20">
      <w:pPr>
        <w:pStyle w:val="Paragraphedeliste"/>
        <w:numPr>
          <w:ilvl w:val="0"/>
          <w:numId w:val="1"/>
        </w:numPr>
      </w:pPr>
      <w:proofErr w:type="gramStart"/>
      <w:r>
        <w:t>je</w:t>
      </w:r>
      <w:proofErr w:type="gramEnd"/>
      <w:r>
        <w:t xml:space="preserve"> reviens sur une question de l’un d’entre vous concernant les notations pour mon tableau d’avancement utilisé pour la méthode de Gran :</w:t>
      </w:r>
    </w:p>
    <w:p w14:paraId="59F5FA88" w14:textId="77777777" w:rsidR="00C77B20" w:rsidRDefault="00C77B20" w:rsidP="00C77B20">
      <w:r>
        <w:t xml:space="preserve">Madame </w:t>
      </w:r>
      <w:proofErr w:type="spellStart"/>
      <w:r>
        <w:t>Godat</w:t>
      </w:r>
      <w:proofErr w:type="spellEnd"/>
      <w:r>
        <w:t xml:space="preserve"> m’a dit que vous saviez aller plus vite que mes tableaux d’avancement écrits « en deux temps ».</w:t>
      </w:r>
    </w:p>
    <w:p w14:paraId="4C990AB3" w14:textId="77777777" w:rsidR="00C77B20" w:rsidRDefault="00C77B20" w:rsidP="00C77B20">
      <w:r>
        <w:t>La ligne « état initial » d’un tableau d’avancement correspond à la solution hypothétique où les différents réactifs seraient mis en présence sans qu’il y ait de réaction chimique (« quantités effectivement introduites », de manière similaire à la ligne écrite en tout début d’une étude de cinétique réactionnelle)</w:t>
      </w:r>
    </w:p>
    <w:p w14:paraId="263C3FF5" w14:textId="77777777" w:rsidR="00C77B20" w:rsidRDefault="00C77B20" w:rsidP="00C77B20">
      <w:r>
        <w:t xml:space="preserve">Mme </w:t>
      </w:r>
      <w:proofErr w:type="spellStart"/>
      <w:r>
        <w:t>Godat</w:t>
      </w:r>
      <w:proofErr w:type="spellEnd"/>
      <w:r>
        <w:t xml:space="preserve"> m’a dit que pour les réactions totales, vous saviez écrire directement l’état final en consommant le réactif limitant.</w:t>
      </w:r>
    </w:p>
    <w:p w14:paraId="706E660E" w14:textId="77777777" w:rsidR="00C77B20" w:rsidRDefault="00C77B20" w:rsidP="00C77B20"/>
    <w:p w14:paraId="564E0EEF" w14:textId="77777777" w:rsidR="00C77B20" w:rsidRDefault="00C77B20" w:rsidP="00C77B20">
      <w:r>
        <w:t>Le tableau d’avancement écrit ce matin pour la modélisation de Gran :</w:t>
      </w:r>
    </w:p>
    <w:tbl>
      <w:tblPr>
        <w:tblStyle w:val="Grilledutableau"/>
        <w:tblW w:w="0" w:type="auto"/>
        <w:tblLook w:val="04A0" w:firstRow="1" w:lastRow="0" w:firstColumn="1" w:lastColumn="0" w:noHBand="0" w:noVBand="1"/>
      </w:tblPr>
      <w:tblGrid>
        <w:gridCol w:w="704"/>
        <w:gridCol w:w="1134"/>
        <w:gridCol w:w="1045"/>
        <w:gridCol w:w="567"/>
        <w:gridCol w:w="791"/>
        <w:gridCol w:w="1193"/>
        <w:gridCol w:w="3415"/>
      </w:tblGrid>
      <w:tr w:rsidR="00C77B20" w14:paraId="6D418783" w14:textId="77777777" w:rsidTr="00723119">
        <w:tc>
          <w:tcPr>
            <w:tcW w:w="704" w:type="dxa"/>
            <w:vAlign w:val="center"/>
          </w:tcPr>
          <w:p w14:paraId="0B9FDDBD" w14:textId="77777777" w:rsidR="00C77B20" w:rsidRDefault="00C77B20" w:rsidP="00723119">
            <w:pPr>
              <w:jc w:val="center"/>
            </w:pPr>
            <w:r>
              <w:t>(</w:t>
            </w:r>
            <w:proofErr w:type="gramStart"/>
            <w:r>
              <w:t>mol</w:t>
            </w:r>
            <w:proofErr w:type="gramEnd"/>
            <w:r>
              <w:t>)</w:t>
            </w:r>
          </w:p>
        </w:tc>
        <w:tc>
          <w:tcPr>
            <w:tcW w:w="1134" w:type="dxa"/>
            <w:vAlign w:val="center"/>
          </w:tcPr>
          <w:p w14:paraId="0F0A5941" w14:textId="77777777" w:rsidR="00C77B20" w:rsidRDefault="00C77B20" w:rsidP="00723119">
            <w:pPr>
              <w:jc w:val="center"/>
            </w:pPr>
            <w:r>
              <w:rPr>
                <w:lang w:val="es-ES"/>
              </w:rPr>
              <w:t>(</w:t>
            </w:r>
            <w:r w:rsidRPr="004C6702">
              <w:rPr>
                <w:lang w:val="es-ES"/>
              </w:rPr>
              <w:t>AH</w:t>
            </w:r>
            <w:proofErr w:type="gramStart"/>
            <w:r w:rsidRPr="00046D78">
              <w:rPr>
                <w:vertAlign w:val="subscript"/>
                <w:lang w:val="es-ES"/>
              </w:rPr>
              <w:t>2</w:t>
            </w:r>
            <w:r w:rsidRPr="004C6702">
              <w:rPr>
                <w:lang w:val="es-ES"/>
              </w:rPr>
              <w:t>)</w:t>
            </w:r>
            <w:r w:rsidRPr="00046D78">
              <w:rPr>
                <w:vertAlign w:val="superscript"/>
                <w:lang w:val="es-ES"/>
              </w:rPr>
              <w:t>+</w:t>
            </w:r>
            <w:proofErr w:type="gramEnd"/>
          </w:p>
        </w:tc>
        <w:tc>
          <w:tcPr>
            <w:tcW w:w="860" w:type="dxa"/>
            <w:vAlign w:val="center"/>
          </w:tcPr>
          <w:p w14:paraId="1B0ED1EE" w14:textId="77777777" w:rsidR="00C77B20" w:rsidRDefault="00C77B20" w:rsidP="00723119">
            <w:pPr>
              <w:jc w:val="center"/>
            </w:pPr>
            <w:r w:rsidRPr="004C6702">
              <w:rPr>
                <w:lang w:val="es-ES"/>
              </w:rPr>
              <w:t>HO</w:t>
            </w:r>
            <w:r w:rsidRPr="00046D78">
              <w:rPr>
                <w:vertAlign w:val="superscript"/>
                <w:lang w:val="es-ES"/>
              </w:rPr>
              <w:t>-</w:t>
            </w:r>
          </w:p>
        </w:tc>
        <w:tc>
          <w:tcPr>
            <w:tcW w:w="567" w:type="dxa"/>
            <w:vAlign w:val="center"/>
          </w:tcPr>
          <w:p w14:paraId="22985D99" w14:textId="77777777" w:rsidR="00C77B20" w:rsidRDefault="00C77B20" w:rsidP="00723119">
            <w:pPr>
              <w:jc w:val="center"/>
            </w:pPr>
            <w:r>
              <w:sym w:font="Wingdings" w:char="F0E0"/>
            </w:r>
          </w:p>
        </w:tc>
        <w:tc>
          <w:tcPr>
            <w:tcW w:w="791" w:type="dxa"/>
            <w:vAlign w:val="center"/>
          </w:tcPr>
          <w:p w14:paraId="4A4B6AA8" w14:textId="77777777" w:rsidR="00C77B20" w:rsidRDefault="00C77B20" w:rsidP="00723119">
            <w:pPr>
              <w:jc w:val="center"/>
            </w:pPr>
            <w:r>
              <w:rPr>
                <w:lang w:val="es-ES"/>
              </w:rPr>
              <w:t>(</w:t>
            </w:r>
            <w:r w:rsidRPr="004C6702">
              <w:rPr>
                <w:lang w:val="es-ES"/>
              </w:rPr>
              <w:t>AH</w:t>
            </w:r>
            <w:r>
              <w:rPr>
                <w:lang w:val="es-ES"/>
              </w:rPr>
              <w:t>)</w:t>
            </w:r>
            <w:r w:rsidRPr="00046D78">
              <w:rPr>
                <w:vertAlign w:val="superscript"/>
                <w:lang w:val="es-ES"/>
              </w:rPr>
              <w:t>+-</w:t>
            </w:r>
          </w:p>
        </w:tc>
        <w:tc>
          <w:tcPr>
            <w:tcW w:w="1193" w:type="dxa"/>
            <w:vAlign w:val="center"/>
          </w:tcPr>
          <w:p w14:paraId="4A479216" w14:textId="77777777" w:rsidR="00C77B20" w:rsidRDefault="00C77B20" w:rsidP="00723119">
            <w:pPr>
              <w:jc w:val="center"/>
            </w:pPr>
            <w:r>
              <w:rPr>
                <w:lang w:val="es-ES"/>
              </w:rPr>
              <w:t>+ H</w:t>
            </w:r>
            <w:r>
              <w:rPr>
                <w:vertAlign w:val="subscript"/>
                <w:lang w:val="es-ES"/>
              </w:rPr>
              <w:t>2</w:t>
            </w:r>
            <w:r>
              <w:rPr>
                <w:lang w:val="es-ES"/>
              </w:rPr>
              <w:t>O</w:t>
            </w:r>
          </w:p>
        </w:tc>
        <w:tc>
          <w:tcPr>
            <w:tcW w:w="3415" w:type="dxa"/>
            <w:vAlign w:val="center"/>
          </w:tcPr>
          <w:p w14:paraId="36BC34C7" w14:textId="77777777" w:rsidR="00C77B20" w:rsidRPr="00046D78" w:rsidRDefault="00C77B20" w:rsidP="00723119">
            <w:pPr>
              <w:jc w:val="center"/>
              <w:rPr>
                <w:i/>
                <w:iCs/>
              </w:rPr>
            </w:pPr>
            <w:proofErr w:type="gramStart"/>
            <w:r w:rsidRPr="00046D78">
              <w:rPr>
                <w:i/>
                <w:iCs/>
              </w:rPr>
              <w:t>remarque</w:t>
            </w:r>
            <w:proofErr w:type="gramEnd"/>
          </w:p>
        </w:tc>
      </w:tr>
      <w:tr w:rsidR="00C77B20" w14:paraId="390E9F36" w14:textId="77777777" w:rsidTr="00723119">
        <w:tc>
          <w:tcPr>
            <w:tcW w:w="704" w:type="dxa"/>
            <w:vAlign w:val="center"/>
          </w:tcPr>
          <w:p w14:paraId="05F8A8E6" w14:textId="77777777" w:rsidR="00C77B20" w:rsidRDefault="00C77B20" w:rsidP="00723119">
            <w:pPr>
              <w:jc w:val="center"/>
            </w:pPr>
            <w:proofErr w:type="spellStart"/>
            <w:r w:rsidRPr="004C6702">
              <w:t>e.i</w:t>
            </w:r>
            <w:proofErr w:type="spellEnd"/>
            <w:r w:rsidRPr="004C6702">
              <w:t>.</w:t>
            </w:r>
          </w:p>
        </w:tc>
        <w:tc>
          <w:tcPr>
            <w:tcW w:w="1134" w:type="dxa"/>
            <w:vAlign w:val="center"/>
          </w:tcPr>
          <w:p w14:paraId="2F744038" w14:textId="77777777" w:rsidR="00C77B20" w:rsidRDefault="00C77B20" w:rsidP="00723119">
            <w:pPr>
              <w:jc w:val="center"/>
            </w:pPr>
            <w:r w:rsidRPr="004C6702">
              <w:t>C</w:t>
            </w:r>
            <w:r w:rsidRPr="004C6702">
              <w:rPr>
                <w:vertAlign w:val="subscript"/>
              </w:rPr>
              <w:t>O</w:t>
            </w:r>
            <w:r w:rsidRPr="004C6702">
              <w:t>V</w:t>
            </w:r>
            <w:r w:rsidRPr="004C6702">
              <w:rPr>
                <w:vertAlign w:val="subscript"/>
              </w:rPr>
              <w:t>0</w:t>
            </w:r>
          </w:p>
        </w:tc>
        <w:tc>
          <w:tcPr>
            <w:tcW w:w="860" w:type="dxa"/>
            <w:vAlign w:val="center"/>
          </w:tcPr>
          <w:p w14:paraId="19D074D2" w14:textId="77777777" w:rsidR="00C77B20" w:rsidRDefault="00C77B20" w:rsidP="00723119">
            <w:pPr>
              <w:jc w:val="center"/>
            </w:pPr>
            <w:proofErr w:type="spellStart"/>
            <w:r w:rsidRPr="004C6702">
              <w:t>C</w:t>
            </w:r>
            <w:r w:rsidRPr="004C6702">
              <w:rPr>
                <w:vertAlign w:val="subscript"/>
              </w:rPr>
              <w:t>b</w:t>
            </w:r>
            <w:r w:rsidRPr="004C6702">
              <w:t>V</w:t>
            </w:r>
            <w:proofErr w:type="spellEnd"/>
          </w:p>
        </w:tc>
        <w:tc>
          <w:tcPr>
            <w:tcW w:w="567" w:type="dxa"/>
            <w:vAlign w:val="center"/>
          </w:tcPr>
          <w:p w14:paraId="6D1E52E9" w14:textId="77777777" w:rsidR="00C77B20" w:rsidRPr="004C6702" w:rsidRDefault="00C77B20" w:rsidP="00723119">
            <w:pPr>
              <w:jc w:val="center"/>
            </w:pPr>
          </w:p>
        </w:tc>
        <w:tc>
          <w:tcPr>
            <w:tcW w:w="791" w:type="dxa"/>
            <w:vAlign w:val="center"/>
          </w:tcPr>
          <w:p w14:paraId="3F5F9E72" w14:textId="77777777" w:rsidR="00C77B20" w:rsidRDefault="00C77B20" w:rsidP="00723119">
            <w:pPr>
              <w:jc w:val="center"/>
            </w:pPr>
            <w:r w:rsidRPr="004C6702">
              <w:t>0</w:t>
            </w:r>
          </w:p>
        </w:tc>
        <w:tc>
          <w:tcPr>
            <w:tcW w:w="1193" w:type="dxa"/>
            <w:vAlign w:val="center"/>
          </w:tcPr>
          <w:p w14:paraId="524E412C" w14:textId="77777777" w:rsidR="00C77B20" w:rsidRDefault="00C77B20" w:rsidP="00723119">
            <w:pPr>
              <w:jc w:val="center"/>
            </w:pPr>
            <w:proofErr w:type="gramStart"/>
            <w:r w:rsidRPr="004C6702">
              <w:t>excès</w:t>
            </w:r>
            <w:proofErr w:type="gramEnd"/>
            <w:r w:rsidRPr="004C6702">
              <w:t xml:space="preserve"> (solv</w:t>
            </w:r>
            <w:r>
              <w:t>a</w:t>
            </w:r>
            <w:r w:rsidRPr="004C6702">
              <w:t>nt)</w:t>
            </w:r>
          </w:p>
        </w:tc>
        <w:tc>
          <w:tcPr>
            <w:tcW w:w="3415" w:type="dxa"/>
            <w:vAlign w:val="center"/>
          </w:tcPr>
          <w:p w14:paraId="1F2712F2" w14:textId="77777777" w:rsidR="00C77B20" w:rsidRPr="00BC4DB7" w:rsidRDefault="00C77B20" w:rsidP="00723119">
            <w:pPr>
              <w:jc w:val="center"/>
              <w:rPr>
                <w:i/>
                <w:iCs/>
                <w:sz w:val="18"/>
                <w:szCs w:val="18"/>
              </w:rPr>
            </w:pPr>
            <w:r w:rsidRPr="00BC4DB7">
              <w:rPr>
                <w:i/>
                <w:iCs/>
                <w:sz w:val="18"/>
                <w:szCs w:val="18"/>
              </w:rPr>
              <w:sym w:font="Wingdings" w:char="F0DF"/>
            </w:r>
            <w:r w:rsidRPr="00BC4DB7">
              <w:rPr>
                <w:i/>
                <w:iCs/>
                <w:sz w:val="18"/>
                <w:szCs w:val="18"/>
              </w:rPr>
              <w:t xml:space="preserve"> </w:t>
            </w:r>
            <w:proofErr w:type="gramStart"/>
            <w:r w:rsidRPr="00BC4DB7">
              <w:rPr>
                <w:i/>
                <w:iCs/>
                <w:sz w:val="18"/>
                <w:szCs w:val="18"/>
              </w:rPr>
              <w:t>cette</w:t>
            </w:r>
            <w:proofErr w:type="gramEnd"/>
            <w:r w:rsidRPr="00BC4DB7">
              <w:rPr>
                <w:i/>
                <w:iCs/>
                <w:sz w:val="18"/>
                <w:szCs w:val="18"/>
              </w:rPr>
              <w:t xml:space="preserve"> ligne correspond à la mise en présence des réactifs en l’absence de réaction : comme s’il y avait eu absence de réaction depuis le début !</w:t>
            </w:r>
          </w:p>
        </w:tc>
      </w:tr>
      <w:tr w:rsidR="00C77B20" w14:paraId="7678D82E" w14:textId="77777777" w:rsidTr="00723119">
        <w:tc>
          <w:tcPr>
            <w:tcW w:w="704" w:type="dxa"/>
            <w:vAlign w:val="center"/>
          </w:tcPr>
          <w:p w14:paraId="00FEB788" w14:textId="77777777" w:rsidR="00C77B20" w:rsidRDefault="00C77B20" w:rsidP="00723119">
            <w:pPr>
              <w:jc w:val="center"/>
            </w:pPr>
            <w:proofErr w:type="spellStart"/>
            <w:r>
              <w:t>e.f</w:t>
            </w:r>
            <w:proofErr w:type="spellEnd"/>
            <w:r>
              <w:t>.</w:t>
            </w:r>
          </w:p>
          <w:p w14:paraId="46D398E0" w14:textId="77777777" w:rsidR="00C77B20" w:rsidRDefault="00C77B20" w:rsidP="00723119">
            <w:pPr>
              <w:jc w:val="center"/>
            </w:pPr>
            <w:proofErr w:type="gramStart"/>
            <w:r>
              <w:t>pour</w:t>
            </w:r>
            <w:proofErr w:type="gramEnd"/>
          </w:p>
          <w:p w14:paraId="3E9C9342" w14:textId="4021B492" w:rsidR="00FC1B3C" w:rsidRPr="00FC1B3C" w:rsidRDefault="00C77B20" w:rsidP="00FC1B3C">
            <w:pPr>
              <w:jc w:val="center"/>
            </w:pPr>
            <w:r>
              <w:t>V&lt;V</w:t>
            </w:r>
            <w:r>
              <w:rPr>
                <w:vertAlign w:val="subscript"/>
              </w:rPr>
              <w:t>1</w:t>
            </w:r>
          </w:p>
        </w:tc>
        <w:tc>
          <w:tcPr>
            <w:tcW w:w="1134" w:type="dxa"/>
            <w:vAlign w:val="center"/>
          </w:tcPr>
          <w:p w14:paraId="17CA0DAA" w14:textId="77777777" w:rsidR="00C77B20" w:rsidRDefault="00C77B20" w:rsidP="00723119">
            <w:pPr>
              <w:jc w:val="center"/>
            </w:pPr>
            <w:r>
              <w:t>C</w:t>
            </w:r>
            <w:r>
              <w:rPr>
                <w:vertAlign w:val="subscript"/>
              </w:rPr>
              <w:t>0</w:t>
            </w:r>
            <w:r>
              <w:t>V</w:t>
            </w:r>
            <w:r>
              <w:rPr>
                <w:vertAlign w:val="subscript"/>
              </w:rPr>
              <w:t>0</w:t>
            </w:r>
            <w:r>
              <w:t>-C</w:t>
            </w:r>
            <w:r>
              <w:rPr>
                <w:vertAlign w:val="subscript"/>
              </w:rPr>
              <w:t>b</w:t>
            </w:r>
            <w:r>
              <w:t>V</w:t>
            </w:r>
          </w:p>
        </w:tc>
        <w:tc>
          <w:tcPr>
            <w:tcW w:w="860" w:type="dxa"/>
            <w:vAlign w:val="center"/>
          </w:tcPr>
          <w:p w14:paraId="3D7AFF8F" w14:textId="77777777" w:rsidR="00C77B20" w:rsidRDefault="00C77B20" w:rsidP="00723119">
            <w:pPr>
              <w:jc w:val="center"/>
            </w:pPr>
            <w:proofErr w:type="gramStart"/>
            <w:r>
              <w:t>epsilon</w:t>
            </w:r>
            <w:proofErr w:type="gramEnd"/>
          </w:p>
          <w:p w14:paraId="32AAF1C2" w14:textId="77777777" w:rsidR="00C77B20" w:rsidRDefault="00C77B20" w:rsidP="00723119">
            <w:pPr>
              <w:jc w:val="center"/>
            </w:pPr>
            <w:r>
              <w:t>(</w:t>
            </w:r>
            <w:proofErr w:type="gramStart"/>
            <w:r>
              <w:t>limitant</w:t>
            </w:r>
            <w:proofErr w:type="gramEnd"/>
            <w:r>
              <w:t>)</w:t>
            </w:r>
          </w:p>
        </w:tc>
        <w:tc>
          <w:tcPr>
            <w:tcW w:w="567" w:type="dxa"/>
            <w:vAlign w:val="center"/>
          </w:tcPr>
          <w:p w14:paraId="63096D07" w14:textId="77777777" w:rsidR="00C77B20" w:rsidRDefault="00C77B20" w:rsidP="00723119">
            <w:pPr>
              <w:jc w:val="center"/>
            </w:pPr>
          </w:p>
        </w:tc>
        <w:tc>
          <w:tcPr>
            <w:tcW w:w="791" w:type="dxa"/>
            <w:vAlign w:val="center"/>
          </w:tcPr>
          <w:p w14:paraId="7BA87F4E" w14:textId="77777777" w:rsidR="00C77B20" w:rsidRDefault="00C77B20" w:rsidP="00723119">
            <w:pPr>
              <w:jc w:val="center"/>
            </w:pPr>
            <w:proofErr w:type="spellStart"/>
            <w:r>
              <w:t>C</w:t>
            </w:r>
            <w:r>
              <w:rPr>
                <w:vertAlign w:val="subscript"/>
              </w:rPr>
              <w:t>b</w:t>
            </w:r>
            <w:r>
              <w:t>V</w:t>
            </w:r>
            <w:proofErr w:type="spellEnd"/>
          </w:p>
        </w:tc>
        <w:tc>
          <w:tcPr>
            <w:tcW w:w="1193" w:type="dxa"/>
            <w:vAlign w:val="center"/>
          </w:tcPr>
          <w:p w14:paraId="0A28C468" w14:textId="77777777" w:rsidR="00C77B20" w:rsidRDefault="00C77B20" w:rsidP="00723119">
            <w:pPr>
              <w:jc w:val="center"/>
            </w:pPr>
            <w:proofErr w:type="gramStart"/>
            <w:r>
              <w:t>excès</w:t>
            </w:r>
            <w:proofErr w:type="gramEnd"/>
          </w:p>
        </w:tc>
        <w:tc>
          <w:tcPr>
            <w:tcW w:w="3415" w:type="dxa"/>
            <w:vAlign w:val="center"/>
          </w:tcPr>
          <w:p w14:paraId="59038101" w14:textId="77777777" w:rsidR="00C77B20" w:rsidRPr="00BC4DB7" w:rsidRDefault="00C77B20" w:rsidP="00723119">
            <w:pPr>
              <w:pStyle w:val="Paragraphedeliste"/>
              <w:ind w:left="33"/>
              <w:jc w:val="center"/>
              <w:rPr>
                <w:i/>
                <w:iCs/>
                <w:sz w:val="18"/>
                <w:szCs w:val="18"/>
              </w:rPr>
            </w:pPr>
            <w:r w:rsidRPr="00BC4DB7">
              <w:rPr>
                <w:i/>
                <w:iCs/>
                <w:sz w:val="18"/>
                <w:szCs w:val="18"/>
              </w:rPr>
              <w:sym w:font="Wingdings" w:char="F0DF"/>
            </w:r>
            <w:proofErr w:type="gramStart"/>
            <w:r w:rsidRPr="00BC4DB7">
              <w:rPr>
                <w:i/>
                <w:iCs/>
                <w:sz w:val="18"/>
                <w:szCs w:val="18"/>
              </w:rPr>
              <w:t>comme</w:t>
            </w:r>
            <w:proofErr w:type="gramEnd"/>
            <w:r w:rsidRPr="00BC4DB7">
              <w:rPr>
                <w:i/>
                <w:iCs/>
                <w:sz w:val="18"/>
                <w:szCs w:val="18"/>
              </w:rPr>
              <w:t xml:space="preserve"> vous savez directement écrire cette ligne pour une réaction totale avec un réactif limitant, la ligne du dessus n’était pas utile pour vous</w:t>
            </w:r>
          </w:p>
        </w:tc>
      </w:tr>
    </w:tbl>
    <w:p w14:paraId="150A4E3B" w14:textId="4D4BE47A" w:rsidR="00C77B20" w:rsidRPr="00FC1B3C" w:rsidRDefault="00FC1B3C" w:rsidP="00C77B20">
      <w:r>
        <w:t>(</w:t>
      </w:r>
      <w:proofErr w:type="gramStart"/>
      <w:r>
        <w:t>un</w:t>
      </w:r>
      <w:proofErr w:type="gramEnd"/>
      <w:r>
        <w:t xml:space="preserve"> avancement </w:t>
      </w:r>
      <w:r>
        <w:rPr>
          <w:rFonts w:cstheme="minorHAnsi"/>
        </w:rPr>
        <w:t>ξ</w:t>
      </w:r>
      <w:r>
        <w:t xml:space="preserve"> = </w:t>
      </w:r>
      <w:proofErr w:type="spellStart"/>
      <w:r>
        <w:t>C</w:t>
      </w:r>
      <w:r>
        <w:rPr>
          <w:vertAlign w:val="subscript"/>
        </w:rPr>
        <w:t>b</w:t>
      </w:r>
      <w:r>
        <w:t>×V</w:t>
      </w:r>
      <w:proofErr w:type="spellEnd"/>
      <w:r>
        <w:t xml:space="preserve"> entre l’état initial et l’état final)</w:t>
      </w:r>
    </w:p>
    <w:p w14:paraId="4767E81A" w14:textId="0FCD70ED" w:rsidR="00C77B20" w:rsidRPr="00BC4DB7" w:rsidRDefault="00C77B20" w:rsidP="00C77B20">
      <w:proofErr w:type="gramStart"/>
      <w:r w:rsidRPr="00BC4DB7">
        <w:t>se</w:t>
      </w:r>
      <w:proofErr w:type="gramEnd"/>
      <w:r w:rsidRPr="00BC4DB7">
        <w:t xml:space="preserve"> résume alors pour v</w:t>
      </w:r>
      <w:r>
        <w:t xml:space="preserve">ous </w:t>
      </w:r>
      <w:r w:rsidR="00953168">
        <w:t>au tableau de quantité de matière :</w:t>
      </w:r>
    </w:p>
    <w:tbl>
      <w:tblPr>
        <w:tblStyle w:val="Grilledutableau"/>
        <w:tblW w:w="0" w:type="auto"/>
        <w:tblLook w:val="04A0" w:firstRow="1" w:lastRow="0" w:firstColumn="1" w:lastColumn="0" w:noHBand="0" w:noVBand="1"/>
      </w:tblPr>
      <w:tblGrid>
        <w:gridCol w:w="704"/>
        <w:gridCol w:w="1134"/>
        <w:gridCol w:w="1045"/>
        <w:gridCol w:w="567"/>
        <w:gridCol w:w="791"/>
        <w:gridCol w:w="1193"/>
      </w:tblGrid>
      <w:tr w:rsidR="00C77B20" w14:paraId="35DF3782" w14:textId="77777777" w:rsidTr="00723119">
        <w:tc>
          <w:tcPr>
            <w:tcW w:w="704" w:type="dxa"/>
            <w:vAlign w:val="center"/>
          </w:tcPr>
          <w:p w14:paraId="78400FE6" w14:textId="77777777" w:rsidR="00C77B20" w:rsidRDefault="00C77B20" w:rsidP="00723119">
            <w:pPr>
              <w:jc w:val="center"/>
            </w:pPr>
            <w:r>
              <w:t>(</w:t>
            </w:r>
            <w:proofErr w:type="gramStart"/>
            <w:r>
              <w:t>mol</w:t>
            </w:r>
            <w:proofErr w:type="gramEnd"/>
            <w:r>
              <w:t>)</w:t>
            </w:r>
          </w:p>
        </w:tc>
        <w:tc>
          <w:tcPr>
            <w:tcW w:w="1134" w:type="dxa"/>
            <w:vAlign w:val="center"/>
          </w:tcPr>
          <w:p w14:paraId="4CAEDE52" w14:textId="77777777" w:rsidR="00C77B20" w:rsidRDefault="00C77B20" w:rsidP="00723119">
            <w:pPr>
              <w:jc w:val="center"/>
            </w:pPr>
            <w:r>
              <w:rPr>
                <w:lang w:val="es-ES"/>
              </w:rPr>
              <w:t>(</w:t>
            </w:r>
            <w:r w:rsidRPr="004C6702">
              <w:rPr>
                <w:lang w:val="es-ES"/>
              </w:rPr>
              <w:t>AH</w:t>
            </w:r>
            <w:proofErr w:type="gramStart"/>
            <w:r w:rsidRPr="00046D78">
              <w:rPr>
                <w:vertAlign w:val="subscript"/>
                <w:lang w:val="es-ES"/>
              </w:rPr>
              <w:t>2</w:t>
            </w:r>
            <w:r w:rsidRPr="004C6702">
              <w:rPr>
                <w:lang w:val="es-ES"/>
              </w:rPr>
              <w:t>)</w:t>
            </w:r>
            <w:r w:rsidRPr="00046D78">
              <w:rPr>
                <w:vertAlign w:val="superscript"/>
                <w:lang w:val="es-ES"/>
              </w:rPr>
              <w:t>+</w:t>
            </w:r>
            <w:proofErr w:type="gramEnd"/>
          </w:p>
        </w:tc>
        <w:tc>
          <w:tcPr>
            <w:tcW w:w="1045" w:type="dxa"/>
            <w:vAlign w:val="center"/>
          </w:tcPr>
          <w:p w14:paraId="6B93BBB0" w14:textId="77777777" w:rsidR="00C77B20" w:rsidRDefault="00C77B20" w:rsidP="00723119">
            <w:pPr>
              <w:jc w:val="center"/>
            </w:pPr>
            <w:r w:rsidRPr="004C6702">
              <w:rPr>
                <w:lang w:val="es-ES"/>
              </w:rPr>
              <w:t>HO</w:t>
            </w:r>
            <w:r w:rsidRPr="00046D78">
              <w:rPr>
                <w:vertAlign w:val="superscript"/>
                <w:lang w:val="es-ES"/>
              </w:rPr>
              <w:t>-</w:t>
            </w:r>
          </w:p>
        </w:tc>
        <w:tc>
          <w:tcPr>
            <w:tcW w:w="567" w:type="dxa"/>
            <w:vAlign w:val="center"/>
          </w:tcPr>
          <w:p w14:paraId="1D944F38" w14:textId="77777777" w:rsidR="00C77B20" w:rsidRDefault="00C77B20" w:rsidP="00723119">
            <w:pPr>
              <w:jc w:val="center"/>
            </w:pPr>
            <w:r>
              <w:sym w:font="Wingdings" w:char="F0E0"/>
            </w:r>
          </w:p>
        </w:tc>
        <w:tc>
          <w:tcPr>
            <w:tcW w:w="791" w:type="dxa"/>
            <w:vAlign w:val="center"/>
          </w:tcPr>
          <w:p w14:paraId="5DAFC99F" w14:textId="77777777" w:rsidR="00C77B20" w:rsidRDefault="00C77B20" w:rsidP="00723119">
            <w:pPr>
              <w:jc w:val="center"/>
            </w:pPr>
            <w:r>
              <w:rPr>
                <w:lang w:val="es-ES"/>
              </w:rPr>
              <w:t>(</w:t>
            </w:r>
            <w:r w:rsidRPr="004C6702">
              <w:rPr>
                <w:lang w:val="es-ES"/>
              </w:rPr>
              <w:t>AH</w:t>
            </w:r>
            <w:r>
              <w:rPr>
                <w:lang w:val="es-ES"/>
              </w:rPr>
              <w:t>)</w:t>
            </w:r>
            <w:r w:rsidRPr="00046D78">
              <w:rPr>
                <w:vertAlign w:val="superscript"/>
                <w:lang w:val="es-ES"/>
              </w:rPr>
              <w:t>+-</w:t>
            </w:r>
          </w:p>
        </w:tc>
        <w:tc>
          <w:tcPr>
            <w:tcW w:w="1193" w:type="dxa"/>
            <w:vAlign w:val="center"/>
          </w:tcPr>
          <w:p w14:paraId="3BD6AE08" w14:textId="77777777" w:rsidR="00C77B20" w:rsidRDefault="00C77B20" w:rsidP="00723119">
            <w:pPr>
              <w:jc w:val="center"/>
            </w:pPr>
            <w:r>
              <w:rPr>
                <w:lang w:val="es-ES"/>
              </w:rPr>
              <w:t>+ H</w:t>
            </w:r>
            <w:r>
              <w:rPr>
                <w:vertAlign w:val="subscript"/>
                <w:lang w:val="es-ES"/>
              </w:rPr>
              <w:t>2</w:t>
            </w:r>
            <w:r>
              <w:rPr>
                <w:lang w:val="es-ES"/>
              </w:rPr>
              <w:t>O</w:t>
            </w:r>
          </w:p>
        </w:tc>
      </w:tr>
      <w:tr w:rsidR="00C77B20" w14:paraId="13E2D142" w14:textId="77777777" w:rsidTr="00723119">
        <w:tc>
          <w:tcPr>
            <w:tcW w:w="704" w:type="dxa"/>
            <w:vAlign w:val="center"/>
          </w:tcPr>
          <w:p w14:paraId="4F613E75" w14:textId="77777777" w:rsidR="00C77B20" w:rsidRDefault="00C77B20" w:rsidP="00723119">
            <w:pPr>
              <w:jc w:val="center"/>
            </w:pPr>
            <w:proofErr w:type="spellStart"/>
            <w:r>
              <w:t>e.f</w:t>
            </w:r>
            <w:proofErr w:type="spellEnd"/>
            <w:r>
              <w:t>.</w:t>
            </w:r>
          </w:p>
          <w:p w14:paraId="60A5EC3D" w14:textId="77777777" w:rsidR="00C77B20" w:rsidRDefault="00C77B20" w:rsidP="00723119">
            <w:pPr>
              <w:jc w:val="center"/>
            </w:pPr>
            <w:proofErr w:type="gramStart"/>
            <w:r>
              <w:t>pour</w:t>
            </w:r>
            <w:proofErr w:type="gramEnd"/>
          </w:p>
          <w:p w14:paraId="5864C2EA" w14:textId="77777777" w:rsidR="00C77B20" w:rsidRDefault="00C77B20" w:rsidP="00723119">
            <w:pPr>
              <w:jc w:val="center"/>
            </w:pPr>
            <w:r>
              <w:t>V&lt;V</w:t>
            </w:r>
            <w:r>
              <w:rPr>
                <w:vertAlign w:val="subscript"/>
              </w:rPr>
              <w:t>1</w:t>
            </w:r>
          </w:p>
        </w:tc>
        <w:tc>
          <w:tcPr>
            <w:tcW w:w="1134" w:type="dxa"/>
            <w:vAlign w:val="center"/>
          </w:tcPr>
          <w:p w14:paraId="2C967449" w14:textId="77777777" w:rsidR="00C77B20" w:rsidRDefault="00C77B20" w:rsidP="00723119">
            <w:pPr>
              <w:jc w:val="center"/>
            </w:pPr>
            <w:r>
              <w:t>C</w:t>
            </w:r>
            <w:r>
              <w:rPr>
                <w:vertAlign w:val="subscript"/>
              </w:rPr>
              <w:t>0</w:t>
            </w:r>
            <w:r>
              <w:t>V</w:t>
            </w:r>
            <w:r>
              <w:rPr>
                <w:vertAlign w:val="subscript"/>
              </w:rPr>
              <w:t>0</w:t>
            </w:r>
            <w:r>
              <w:t>-C</w:t>
            </w:r>
            <w:r>
              <w:rPr>
                <w:vertAlign w:val="subscript"/>
              </w:rPr>
              <w:t>b</w:t>
            </w:r>
            <w:r>
              <w:t>V</w:t>
            </w:r>
          </w:p>
        </w:tc>
        <w:tc>
          <w:tcPr>
            <w:tcW w:w="1045" w:type="dxa"/>
            <w:vAlign w:val="center"/>
          </w:tcPr>
          <w:p w14:paraId="22F7CFDD" w14:textId="77777777" w:rsidR="00C77B20" w:rsidRDefault="00C77B20" w:rsidP="00723119">
            <w:pPr>
              <w:jc w:val="center"/>
            </w:pPr>
            <w:proofErr w:type="gramStart"/>
            <w:r>
              <w:t>epsilon</w:t>
            </w:r>
            <w:proofErr w:type="gramEnd"/>
          </w:p>
          <w:p w14:paraId="17EE25BB" w14:textId="77777777" w:rsidR="00C77B20" w:rsidRDefault="00C77B20" w:rsidP="00723119">
            <w:pPr>
              <w:jc w:val="center"/>
            </w:pPr>
            <w:r>
              <w:t>(</w:t>
            </w:r>
            <w:proofErr w:type="gramStart"/>
            <w:r>
              <w:t>limitant</w:t>
            </w:r>
            <w:proofErr w:type="gramEnd"/>
            <w:r>
              <w:t>)</w:t>
            </w:r>
          </w:p>
        </w:tc>
        <w:tc>
          <w:tcPr>
            <w:tcW w:w="567" w:type="dxa"/>
            <w:vAlign w:val="center"/>
          </w:tcPr>
          <w:p w14:paraId="262A459C" w14:textId="77777777" w:rsidR="00C77B20" w:rsidRDefault="00C77B20" w:rsidP="00723119">
            <w:pPr>
              <w:jc w:val="center"/>
            </w:pPr>
          </w:p>
        </w:tc>
        <w:tc>
          <w:tcPr>
            <w:tcW w:w="791" w:type="dxa"/>
            <w:vAlign w:val="center"/>
          </w:tcPr>
          <w:p w14:paraId="3EBD40DF" w14:textId="77777777" w:rsidR="00C77B20" w:rsidRDefault="00C77B20" w:rsidP="00723119">
            <w:pPr>
              <w:jc w:val="center"/>
            </w:pPr>
            <w:proofErr w:type="spellStart"/>
            <w:r>
              <w:t>C</w:t>
            </w:r>
            <w:r>
              <w:rPr>
                <w:vertAlign w:val="subscript"/>
              </w:rPr>
              <w:t>b</w:t>
            </w:r>
            <w:r>
              <w:t>V</w:t>
            </w:r>
            <w:proofErr w:type="spellEnd"/>
          </w:p>
        </w:tc>
        <w:tc>
          <w:tcPr>
            <w:tcW w:w="1193" w:type="dxa"/>
            <w:vAlign w:val="center"/>
          </w:tcPr>
          <w:p w14:paraId="7D6E849F" w14:textId="77777777" w:rsidR="00C77B20" w:rsidRDefault="00C77B20" w:rsidP="00723119">
            <w:pPr>
              <w:jc w:val="center"/>
            </w:pPr>
            <w:proofErr w:type="gramStart"/>
            <w:r>
              <w:t>excès</w:t>
            </w:r>
            <w:proofErr w:type="gramEnd"/>
          </w:p>
        </w:tc>
      </w:tr>
    </w:tbl>
    <w:p w14:paraId="7F829070" w14:textId="0157B09B" w:rsidR="00FC1B3C" w:rsidRDefault="00FC1B3C" w:rsidP="00C77B20"/>
    <w:p w14:paraId="1C1EE521" w14:textId="77777777" w:rsidR="00FC1B3C" w:rsidRDefault="00FC1B3C">
      <w:r>
        <w:br w:type="page"/>
      </w:r>
    </w:p>
    <w:p w14:paraId="6A52B0DB" w14:textId="77777777" w:rsidR="00C77B20" w:rsidRPr="00BC4DB7" w:rsidRDefault="00C77B20" w:rsidP="00C77B20"/>
    <w:p w14:paraId="4EEC131F" w14:textId="77777777" w:rsidR="00C77B20" w:rsidRPr="00FC1B3C" w:rsidRDefault="00C77B20" w:rsidP="00C77B20">
      <w:pPr>
        <w:jc w:val="center"/>
        <w:rPr>
          <w:i/>
          <w:iCs/>
        </w:rPr>
      </w:pPr>
      <w:r w:rsidRPr="00FC1B3C">
        <w:rPr>
          <w:i/>
          <w:iCs/>
        </w:rPr>
        <w:t>Méthode de Gran</w:t>
      </w:r>
    </w:p>
    <w:p w14:paraId="51A65E9B" w14:textId="77777777" w:rsidR="00C77B20" w:rsidRPr="00BC4DB7" w:rsidRDefault="00C77B20" w:rsidP="00C77B20">
      <w:pPr>
        <w:ind w:left="708" w:firstLine="708"/>
      </w:pPr>
      <w:r w:rsidRPr="00BC4DB7">
        <w:t>K</w:t>
      </w:r>
      <w:r w:rsidRPr="00BC4DB7">
        <w:rPr>
          <w:vertAlign w:val="subscript"/>
        </w:rPr>
        <w:t>A1</w:t>
      </w:r>
      <w:r w:rsidRPr="00BC4DB7">
        <w:t xml:space="preserve"> = [H</w:t>
      </w:r>
      <w:r w:rsidRPr="00BC4DB7">
        <w:rPr>
          <w:vertAlign w:val="subscript"/>
        </w:rPr>
        <w:t>3</w:t>
      </w:r>
      <w:r w:rsidRPr="00BC4DB7">
        <w:t>O</w:t>
      </w:r>
      <w:proofErr w:type="gramStart"/>
      <w:r w:rsidRPr="00BC4DB7">
        <w:rPr>
          <w:vertAlign w:val="superscript"/>
        </w:rPr>
        <w:t>+</w:t>
      </w:r>
      <w:r w:rsidRPr="00BC4DB7">
        <w:t>]×</w:t>
      </w:r>
      <w:proofErr w:type="gramEnd"/>
      <w:r w:rsidRPr="00BC4DB7">
        <w:t>[(AH)</w:t>
      </w:r>
      <w:r w:rsidRPr="00BC4DB7">
        <w:rPr>
          <w:vertAlign w:val="superscript"/>
        </w:rPr>
        <w:t>+-</w:t>
      </w:r>
      <w:r w:rsidRPr="00BC4DB7">
        <w:t>)] / [(AH</w:t>
      </w:r>
      <w:r w:rsidRPr="00BC4DB7">
        <w:rPr>
          <w:vertAlign w:val="subscript"/>
        </w:rPr>
        <w:t>2</w:t>
      </w:r>
      <w:r w:rsidRPr="00BC4DB7">
        <w:t>)</w:t>
      </w:r>
      <w:r w:rsidRPr="00BC4DB7">
        <w:rPr>
          <w:vertAlign w:val="superscript"/>
        </w:rPr>
        <w:t>+</w:t>
      </w:r>
      <w:r w:rsidRPr="00BC4DB7">
        <w:t xml:space="preserve">]   </w:t>
      </w:r>
    </w:p>
    <w:p w14:paraId="7688520C" w14:textId="5B472140" w:rsidR="00C77B20" w:rsidRDefault="00C77B20" w:rsidP="00C77B20">
      <w:pPr>
        <w:ind w:left="708"/>
      </w:pPr>
      <w:proofErr w:type="gramStart"/>
      <w:r w:rsidRPr="00BC4DB7">
        <w:rPr>
          <w:u w:val="single"/>
        </w:rPr>
        <w:t>si</w:t>
      </w:r>
      <w:proofErr w:type="gramEnd"/>
      <w:r w:rsidRPr="00BC4DB7">
        <w:rPr>
          <w:u w:val="single"/>
        </w:rPr>
        <w:t xml:space="preserve"> la ligne « état final » </w:t>
      </w:r>
      <w:r w:rsidR="00FC1B3C">
        <w:rPr>
          <w:u w:val="single"/>
        </w:rPr>
        <w:t>du tableau de</w:t>
      </w:r>
      <w:r w:rsidR="00953168">
        <w:rPr>
          <w:u w:val="single"/>
        </w:rPr>
        <w:t xml:space="preserve"> quantité de</w:t>
      </w:r>
      <w:r w:rsidR="00FC1B3C">
        <w:rPr>
          <w:u w:val="single"/>
        </w:rPr>
        <w:t xml:space="preserve"> matière précédent </w:t>
      </w:r>
      <w:r w:rsidRPr="00BC4DB7">
        <w:rPr>
          <w:u w:val="single"/>
        </w:rPr>
        <w:t>représente correctement la composition de la solution</w:t>
      </w:r>
      <w:r>
        <w:t>, alors (en notant h = [H</w:t>
      </w:r>
      <w:r>
        <w:rPr>
          <w:vertAlign w:val="subscript"/>
        </w:rPr>
        <w:t>3</w:t>
      </w:r>
      <w:r>
        <w:t>O</w:t>
      </w:r>
      <w:r>
        <w:rPr>
          <w:vertAlign w:val="superscript"/>
        </w:rPr>
        <w:t>+</w:t>
      </w:r>
      <w:r>
        <w:t>] qui vaut numériquement 10</w:t>
      </w:r>
      <w:r>
        <w:rPr>
          <w:vertAlign w:val="superscript"/>
        </w:rPr>
        <w:t>-pH</w:t>
      </w:r>
      <w:r>
        <w:t>) :</w:t>
      </w:r>
    </w:p>
    <w:p w14:paraId="66C08C38" w14:textId="77777777" w:rsidR="00C77B20" w:rsidRDefault="00C77B20" w:rsidP="00C77B20">
      <w:pPr>
        <w:ind w:left="708" w:firstLine="708"/>
        <w:rPr>
          <w:lang w:val="en-GB"/>
        </w:rPr>
      </w:pPr>
      <w:r w:rsidRPr="00A16024">
        <w:rPr>
          <w:lang w:val="en-GB"/>
        </w:rPr>
        <w:t>K</w:t>
      </w:r>
      <w:r w:rsidRPr="00A16024">
        <w:rPr>
          <w:vertAlign w:val="subscript"/>
          <w:lang w:val="en-GB"/>
        </w:rPr>
        <w:t>A1</w:t>
      </w:r>
      <w:r w:rsidRPr="00A16024">
        <w:rPr>
          <w:lang w:val="en-GB"/>
        </w:rPr>
        <w:t xml:space="preserve"> = h×(</w:t>
      </w:r>
      <w:proofErr w:type="spellStart"/>
      <w:r w:rsidRPr="00A16024">
        <w:rPr>
          <w:lang w:val="en-GB"/>
        </w:rPr>
        <w:t>C</w:t>
      </w:r>
      <w:r w:rsidRPr="00A16024">
        <w:rPr>
          <w:vertAlign w:val="subscript"/>
          <w:lang w:val="en-GB"/>
        </w:rPr>
        <w:t>b</w:t>
      </w:r>
      <w:r w:rsidRPr="00A16024">
        <w:rPr>
          <w:lang w:val="en-GB"/>
        </w:rPr>
        <w:t>V</w:t>
      </w:r>
      <w:proofErr w:type="spellEnd"/>
      <w:r w:rsidRPr="00A16024">
        <w:rPr>
          <w:lang w:val="en-GB"/>
        </w:rPr>
        <w:t>/</w:t>
      </w:r>
      <w:proofErr w:type="spellStart"/>
      <w:r w:rsidRPr="00A16024">
        <w:rPr>
          <w:lang w:val="en-GB"/>
        </w:rPr>
        <w:t>V</w:t>
      </w:r>
      <w:r w:rsidRPr="00A16024">
        <w:rPr>
          <w:vertAlign w:val="subscript"/>
          <w:lang w:val="en-GB"/>
        </w:rPr>
        <w:t>tot</w:t>
      </w:r>
      <w:proofErr w:type="spellEnd"/>
      <w:r w:rsidRPr="00A16024">
        <w:rPr>
          <w:lang w:val="en-GB"/>
        </w:rPr>
        <w:t>) / [(C</w:t>
      </w:r>
      <w:r w:rsidRPr="00A16024">
        <w:rPr>
          <w:vertAlign w:val="subscript"/>
          <w:lang w:val="en-GB"/>
        </w:rPr>
        <w:t>0</w:t>
      </w:r>
      <w:r w:rsidRPr="00A16024">
        <w:rPr>
          <w:lang w:val="en-GB"/>
        </w:rPr>
        <w:t>V</w:t>
      </w:r>
      <w:r w:rsidRPr="00A16024">
        <w:rPr>
          <w:vertAlign w:val="subscript"/>
          <w:lang w:val="en-GB"/>
        </w:rPr>
        <w:t>0</w:t>
      </w:r>
      <w:r w:rsidRPr="00A16024">
        <w:rPr>
          <w:lang w:val="en-GB"/>
        </w:rPr>
        <w:t>-C</w:t>
      </w:r>
      <w:r w:rsidRPr="00A16024">
        <w:rPr>
          <w:vertAlign w:val="subscript"/>
          <w:lang w:val="en-GB"/>
        </w:rPr>
        <w:t>b</w:t>
      </w:r>
      <w:r w:rsidRPr="00A16024">
        <w:rPr>
          <w:lang w:val="en-GB"/>
        </w:rPr>
        <w:t>V)/</w:t>
      </w:r>
      <w:proofErr w:type="spellStart"/>
      <w:r w:rsidRPr="00A16024">
        <w:rPr>
          <w:lang w:val="en-GB"/>
        </w:rPr>
        <w:t>V</w:t>
      </w:r>
      <w:r w:rsidRPr="00A16024">
        <w:rPr>
          <w:vertAlign w:val="subscript"/>
          <w:lang w:val="en-GB"/>
        </w:rPr>
        <w:t>tot</w:t>
      </w:r>
      <w:proofErr w:type="spellEnd"/>
      <w:r w:rsidRPr="00A16024">
        <w:rPr>
          <w:lang w:val="en-GB"/>
        </w:rPr>
        <w:t>]</w:t>
      </w:r>
    </w:p>
    <w:p w14:paraId="03D035E9" w14:textId="77777777" w:rsidR="00C77B20" w:rsidRDefault="00C77B20" w:rsidP="00C77B20">
      <w:pPr>
        <w:ind w:firstLine="708"/>
        <w:rPr>
          <w:lang w:val="en-GB"/>
        </w:rPr>
      </w:pPr>
      <w:proofErr w:type="spellStart"/>
      <w:r>
        <w:rPr>
          <w:lang w:val="en-GB"/>
        </w:rPr>
        <w:t>d’où</w:t>
      </w:r>
      <w:proofErr w:type="spellEnd"/>
      <w:r>
        <w:rPr>
          <w:lang w:val="en-GB"/>
        </w:rPr>
        <w:t xml:space="preserve"> </w:t>
      </w:r>
    </w:p>
    <w:p w14:paraId="65B0DEE5" w14:textId="77777777" w:rsidR="00C77B20" w:rsidRDefault="00C77B20" w:rsidP="00C77B20">
      <w:pPr>
        <w:ind w:left="708" w:firstLine="708"/>
        <w:rPr>
          <w:lang w:val="en-GB"/>
        </w:rPr>
      </w:pPr>
      <w:proofErr w:type="spellStart"/>
      <w:r>
        <w:rPr>
          <w:lang w:val="en-GB"/>
        </w:rPr>
        <w:t>V×h</w:t>
      </w:r>
      <w:proofErr w:type="spellEnd"/>
      <w:r>
        <w:rPr>
          <w:lang w:val="en-GB"/>
        </w:rPr>
        <w:t xml:space="preserve"> = (K</w:t>
      </w:r>
      <w:r>
        <w:rPr>
          <w:vertAlign w:val="subscript"/>
          <w:lang w:val="en-GB"/>
        </w:rPr>
        <w:t>A1</w:t>
      </w:r>
      <w:r>
        <w:rPr>
          <w:lang w:val="en-GB"/>
        </w:rPr>
        <w:t>/</w:t>
      </w:r>
      <w:proofErr w:type="spellStart"/>
      <w:r>
        <w:rPr>
          <w:lang w:val="en-GB"/>
        </w:rPr>
        <w:t>c</w:t>
      </w:r>
      <w:r>
        <w:rPr>
          <w:vertAlign w:val="subscript"/>
          <w:lang w:val="en-GB"/>
        </w:rPr>
        <w:t>b</w:t>
      </w:r>
      <w:proofErr w:type="spellEnd"/>
      <w:r>
        <w:rPr>
          <w:lang w:val="en-GB"/>
        </w:rPr>
        <w:t>) × (</w:t>
      </w:r>
      <w:r w:rsidRPr="00A16024">
        <w:rPr>
          <w:lang w:val="en-GB"/>
        </w:rPr>
        <w:t>C</w:t>
      </w:r>
      <w:r w:rsidRPr="00A16024">
        <w:rPr>
          <w:vertAlign w:val="subscript"/>
          <w:lang w:val="en-GB"/>
        </w:rPr>
        <w:t>0</w:t>
      </w:r>
      <w:r w:rsidRPr="00A16024">
        <w:rPr>
          <w:lang w:val="en-GB"/>
        </w:rPr>
        <w:t>V</w:t>
      </w:r>
      <w:r w:rsidRPr="00A16024">
        <w:rPr>
          <w:vertAlign w:val="subscript"/>
          <w:lang w:val="en-GB"/>
        </w:rPr>
        <w:t>0</w:t>
      </w:r>
      <w:r w:rsidRPr="00A16024">
        <w:rPr>
          <w:lang w:val="en-GB"/>
        </w:rPr>
        <w:t>-C</w:t>
      </w:r>
      <w:r w:rsidRPr="00A16024">
        <w:rPr>
          <w:vertAlign w:val="subscript"/>
          <w:lang w:val="en-GB"/>
        </w:rPr>
        <w:t>b</w:t>
      </w:r>
      <w:r w:rsidRPr="00A16024">
        <w:rPr>
          <w:lang w:val="en-GB"/>
        </w:rPr>
        <w:t>V</w:t>
      </w:r>
      <w:r>
        <w:rPr>
          <w:lang w:val="en-GB"/>
        </w:rPr>
        <w:t>)</w:t>
      </w:r>
    </w:p>
    <w:p w14:paraId="4D63DA52" w14:textId="77777777" w:rsidR="00C77B20" w:rsidRDefault="00C77B20" w:rsidP="00C77B20">
      <w:pPr>
        <w:ind w:firstLine="708"/>
      </w:pPr>
      <w:proofErr w:type="gramStart"/>
      <w:r w:rsidRPr="00A16024">
        <w:t>en</w:t>
      </w:r>
      <w:proofErr w:type="gramEnd"/>
      <w:r w:rsidRPr="00A16024">
        <w:t xml:space="preserve"> posant Y = V×10</w:t>
      </w:r>
      <w:r w:rsidRPr="00046D78">
        <w:rPr>
          <w:vertAlign w:val="superscript"/>
        </w:rPr>
        <w:t>-pH</w:t>
      </w:r>
      <w:r>
        <w:t xml:space="preserve"> et X = V, on observe que Y est affine de X :</w:t>
      </w:r>
    </w:p>
    <w:p w14:paraId="0ABB618C" w14:textId="77777777" w:rsidR="00C77B20" w:rsidRDefault="00C77B20" w:rsidP="00C77B20">
      <w:pPr>
        <w:ind w:left="708" w:firstLine="708"/>
      </w:pPr>
      <w:r w:rsidRPr="00A16024">
        <w:t>V×10</w:t>
      </w:r>
      <w:r w:rsidRPr="00046D78">
        <w:rPr>
          <w:vertAlign w:val="superscript"/>
        </w:rPr>
        <w:t>-pH</w:t>
      </w:r>
      <w:r>
        <w:t xml:space="preserve"> en fonction de V doit être une droite décroissante (pente p = -K</w:t>
      </w:r>
      <w:r>
        <w:rPr>
          <w:vertAlign w:val="subscript"/>
        </w:rPr>
        <w:t>A1</w:t>
      </w:r>
      <w:r>
        <w:t>) et qui croise l’axe des abscisses (</w:t>
      </w:r>
      <w:r w:rsidRPr="00BC4DB7">
        <w:rPr>
          <w:i/>
          <w:iCs/>
        </w:rPr>
        <w:t>annulation de l’expression de droite</w:t>
      </w:r>
      <w:r>
        <w:t xml:space="preserve">) pour V vérifiant </w:t>
      </w:r>
      <w:r w:rsidRPr="00A16024">
        <w:t>C</w:t>
      </w:r>
      <w:r w:rsidRPr="00A16024">
        <w:rPr>
          <w:vertAlign w:val="subscript"/>
        </w:rPr>
        <w:t>0</w:t>
      </w:r>
      <w:r w:rsidRPr="00A16024">
        <w:t>V</w:t>
      </w:r>
      <w:r w:rsidRPr="00A16024">
        <w:rPr>
          <w:vertAlign w:val="subscript"/>
        </w:rPr>
        <w:t>0</w:t>
      </w:r>
      <w:r w:rsidRPr="00A16024">
        <w:t>-C</w:t>
      </w:r>
      <w:r w:rsidRPr="00A16024">
        <w:rPr>
          <w:vertAlign w:val="subscript"/>
        </w:rPr>
        <w:t>b</w:t>
      </w:r>
      <w:r w:rsidRPr="00A16024">
        <w:t>V</w:t>
      </w:r>
      <w:r>
        <w:t xml:space="preserve"> = 0, donc pour l’équivalence. Ceci… </w:t>
      </w:r>
      <w:r w:rsidRPr="00BC4DB7">
        <w:rPr>
          <w:u w:val="single"/>
        </w:rPr>
        <w:t>uniquement si la ligne « état final » du tableau décrit bien l’état d’équilibre de la solution.</w:t>
      </w:r>
    </w:p>
    <w:p w14:paraId="157AEB49" w14:textId="77777777" w:rsidR="00953168" w:rsidRDefault="00953168" w:rsidP="00C77B20">
      <w:pPr>
        <w:ind w:left="708" w:firstLine="708"/>
      </w:pPr>
    </w:p>
    <w:p w14:paraId="5199DE99" w14:textId="312D510D" w:rsidR="00C77B20" w:rsidRDefault="00953168" w:rsidP="00953168">
      <w:r>
        <w:t>Dans le TP titrage de la glycine : l</w:t>
      </w:r>
      <w:r w:rsidR="00C77B20">
        <w:t>e graphe pour toutes les valeurs entre V = 1mL et V1 donne :</w:t>
      </w:r>
    </w:p>
    <w:p w14:paraId="16FD69E7" w14:textId="77777777" w:rsidR="00C77B20" w:rsidRDefault="00C77B20" w:rsidP="00953168">
      <w:pPr>
        <w:jc w:val="center"/>
      </w:pPr>
      <w:r>
        <w:rPr>
          <w:noProof/>
        </w:rPr>
        <mc:AlternateContent>
          <mc:Choice Requires="wps">
            <w:drawing>
              <wp:anchor distT="45720" distB="45720" distL="114300" distR="114300" simplePos="0" relativeHeight="251659264" behindDoc="0" locked="0" layoutInCell="1" allowOverlap="1" wp14:anchorId="6B9E052D" wp14:editId="54D99117">
                <wp:simplePos x="0" y="0"/>
                <wp:positionH relativeFrom="column">
                  <wp:posOffset>369851</wp:posOffset>
                </wp:positionH>
                <wp:positionV relativeFrom="paragraph">
                  <wp:posOffset>1092052</wp:posOffset>
                </wp:positionV>
                <wp:extent cx="771525" cy="31432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71525" cy="314325"/>
                        </a:xfrm>
                        <a:prstGeom prst="rect">
                          <a:avLst/>
                        </a:prstGeom>
                        <a:noFill/>
                        <a:ln w="9525">
                          <a:noFill/>
                          <a:miter lim="800000"/>
                          <a:headEnd/>
                          <a:tailEnd/>
                        </a:ln>
                      </wps:spPr>
                      <wps:txbx>
                        <w:txbxContent>
                          <w:p w14:paraId="622FAC68" w14:textId="77777777" w:rsidR="00C77B20" w:rsidRPr="00966C19" w:rsidRDefault="00C77B20" w:rsidP="00C77B20">
                            <w:pPr>
                              <w:rPr>
                                <w:vertAlign w:val="superscript"/>
                              </w:rPr>
                            </w:pPr>
                            <w:r>
                              <w:t>V</w:t>
                            </w:r>
                            <w:r>
                              <w:rPr>
                                <w:vertAlign w:val="subscript"/>
                              </w:rPr>
                              <w:t>b</w:t>
                            </w:r>
                            <w:r>
                              <w:t>×10</w:t>
                            </w:r>
                            <w:r>
                              <w:rPr>
                                <w:vertAlign w:val="superscript"/>
                              </w:rPr>
                              <w:t>-pH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E052D" id="_x0000_t202" coordsize="21600,21600" o:spt="202" path="m,l,21600r21600,l21600,xe">
                <v:stroke joinstyle="miter"/>
                <v:path gradientshapeok="t" o:connecttype="rect"/>
              </v:shapetype>
              <v:shape id="Zone de texte 2" o:spid="_x0000_s1026" type="#_x0000_t202" style="position:absolute;left:0;text-align:left;margin-left:29.1pt;margin-top:86pt;width:60.75pt;height:24.7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" filled="f" stroked="f">
                <v:textbox>
                  <w:txbxContent>
                    <w:p w14:paraId="622FAC68" w14:textId="77777777" w:rsidR="00C77B20" w:rsidRPr="00966C19" w:rsidRDefault="00C77B20" w:rsidP="00C77B20">
                      <w:pPr>
                        <w:rPr>
                          <w:vertAlign w:val="superscript"/>
                        </w:rPr>
                      </w:pPr>
                      <w:r>
                        <w:t>V</w:t>
                      </w:r>
                      <w:r>
                        <w:rPr>
                          <w:vertAlign w:val="subscript"/>
                        </w:rPr>
                        <w:t>b</w:t>
                      </w:r>
                      <w:r>
                        <w:t>×10</w:t>
                      </w:r>
                      <w:r>
                        <w:rPr>
                          <w:vertAlign w:val="superscript"/>
                        </w:rPr>
                        <w:t>-pH</w:t>
                      </w:r>
                    </w:p>
                  </w:txbxContent>
                </v:textbox>
              </v:shape>
            </w:pict>
          </mc:Fallback>
        </mc:AlternateContent>
      </w:r>
      <w:r>
        <w:rPr>
          <w:noProof/>
        </w:rPr>
        <w:drawing>
          <wp:inline distT="0" distB="0" distL="0" distR="0" wp14:anchorId="42FA2955" wp14:editId="12107A4C">
            <wp:extent cx="4229100" cy="26906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extLst>
                        <a:ext uri="{28A0092B-C50C-407E-A947-70E740481C1C}">
                          <a14:useLocalDpi xmlns:a14="http://schemas.microsoft.com/office/drawing/2010/main" val="0"/>
                        </a:ext>
                      </a:extLst>
                    </a:blip>
                    <a:stretch>
                      <a:fillRect/>
                    </a:stretch>
                  </pic:blipFill>
                  <pic:spPr>
                    <a:xfrm>
                      <a:off x="0" y="0"/>
                      <a:ext cx="4238338" cy="2696496"/>
                    </a:xfrm>
                    <a:prstGeom prst="rect">
                      <a:avLst/>
                    </a:prstGeom>
                  </pic:spPr>
                </pic:pic>
              </a:graphicData>
            </a:graphic>
          </wp:inline>
        </w:drawing>
      </w:r>
    </w:p>
    <w:p w14:paraId="12D47FFD" w14:textId="77777777" w:rsidR="00C77B20" w:rsidRDefault="00C77B20" w:rsidP="00C77B20">
      <w:r>
        <w:t>Bien voir que la modélisation n’est pas alors valable sur l’ensemble du domaine [1 mL ; 9,5 mL] (nous avions d’ailleurs constaté que le comportement proche de V = 0 mL n’était pas celui d’un acide faible, mais qu’il y avait un taux non négligeable de dissociation)</w:t>
      </w:r>
    </w:p>
    <w:p w14:paraId="7D3EC1CE" w14:textId="77777777" w:rsidR="00C77B20" w:rsidRDefault="00C77B20" w:rsidP="00C77B20">
      <w:r>
        <w:t xml:space="preserve">Mais </w:t>
      </w:r>
      <w:r w:rsidRPr="00BC4DB7">
        <w:rPr>
          <w:u w:val="single"/>
        </w:rPr>
        <w:t>cette modélisation reste valable vers la toute fin du domaine</w:t>
      </w:r>
      <w:r>
        <w:t xml:space="preserve"> : les points pour </w:t>
      </w:r>
      <w:r w:rsidRPr="00BC4DB7">
        <w:rPr>
          <w:u w:val="single"/>
        </w:rPr>
        <w:t xml:space="preserve">V entre 8 et 9,8 mL </w:t>
      </w:r>
      <w:r>
        <w:t xml:space="preserve">donnent une droite dont </w:t>
      </w:r>
      <w:r w:rsidRPr="00BC4DB7">
        <w:rPr>
          <w:u w:val="single"/>
        </w:rPr>
        <w:t>l’intersection avec l’axe des abscisses se fait pour V = 9,94 mL</w:t>
      </w:r>
      <w:r>
        <w:t xml:space="preserve"> (cohérent avec les autres estimateurs de V</w:t>
      </w:r>
      <w:r>
        <w:rPr>
          <w:vertAlign w:val="subscript"/>
        </w:rPr>
        <w:t>éq1</w:t>
      </w:r>
      <w:r>
        <w:t xml:space="preserve"> déjà trouvés)</w:t>
      </w:r>
    </w:p>
    <w:p w14:paraId="474D5864" w14:textId="31FFD84D" w:rsidR="00C77B20" w:rsidRDefault="00C77B20">
      <w:r>
        <w:br w:type="page"/>
      </w:r>
    </w:p>
    <w:p w14:paraId="55C5D337" w14:textId="0848AAD6" w:rsidR="00C77B20" w:rsidRDefault="00C77B20" w:rsidP="00396450">
      <w:r>
        <w:lastRenderedPageBreak/>
        <w:t>Et pour finir : des petits rappels liés à certaines manipulations ce matin :</w:t>
      </w:r>
    </w:p>
    <w:p w14:paraId="624075E0" w14:textId="3E9B14FC" w:rsidR="00396450" w:rsidRDefault="00396450" w:rsidP="00396450">
      <w:pPr>
        <w:pStyle w:val="Paragraphedeliste"/>
        <w:numPr>
          <w:ilvl w:val="0"/>
          <w:numId w:val="1"/>
        </w:numPr>
      </w:pPr>
      <w:proofErr w:type="gramStart"/>
      <w:r>
        <w:t>se</w:t>
      </w:r>
      <w:proofErr w:type="gramEnd"/>
      <w:r>
        <w:t xml:space="preserve"> souvenir qu’une pipette jaugée peut-être </w:t>
      </w:r>
      <w:r w:rsidR="00BC4DB7">
        <w:t xml:space="preserve">soit </w:t>
      </w:r>
      <w:r>
        <w:t>une pipette « 1 trait » (on ne contrôle que le trait du haut, la dernière goutte du bas de la pipette doit s’écouler par capillarité) ou « 2 traits » : le volume de référence est versé lorsque l’on ne fait s’écouler que le volume de liquide compris entre les deux traits. Ces pipettes 2 traits sont plus précises. Ce sont elles qui sont généralement utilisées aux concours.</w:t>
      </w:r>
    </w:p>
    <w:p w14:paraId="59763357" w14:textId="77777777" w:rsidR="00FC1B3C" w:rsidRDefault="00FC1B3C" w:rsidP="00953168">
      <w:pPr>
        <w:spacing w:after="0"/>
      </w:pPr>
      <w:r>
        <w:t>Eventuellement on peut consulter ce lien de l’école d’ingénieur AgroParisTech :</w:t>
      </w:r>
    </w:p>
    <w:p w14:paraId="5E80E4E8" w14:textId="1911EB38" w:rsidR="00FC1B3C" w:rsidRDefault="00FC1B3C" w:rsidP="00953168">
      <w:pPr>
        <w:spacing w:after="0"/>
      </w:pPr>
      <w:hyperlink r:id="rId7" w:history="1">
        <w:r w:rsidRPr="004E5E66">
          <w:rPr>
            <w:rStyle w:val="Lienhypertexte"/>
          </w:rPr>
          <w:t>http://chimactiv.agroparistech.fr/fr/bases/pipetage/theorie/8</w:t>
        </w:r>
      </w:hyperlink>
      <w:r>
        <w:t xml:space="preserve"> </w:t>
      </w:r>
    </w:p>
    <w:p w14:paraId="5A6FF0AB" w14:textId="62056DFF" w:rsidR="00FC1B3C" w:rsidRPr="00953168" w:rsidRDefault="00FC1B3C" w:rsidP="00953168">
      <w:pPr>
        <w:spacing w:after="0"/>
        <w:rPr>
          <w:i/>
          <w:iCs/>
        </w:rPr>
      </w:pPr>
      <w:proofErr w:type="gramStart"/>
      <w:r w:rsidRPr="00953168">
        <w:rPr>
          <w:i/>
          <w:iCs/>
        </w:rPr>
        <w:t>et</w:t>
      </w:r>
      <w:proofErr w:type="gramEnd"/>
      <w:r w:rsidRPr="00953168">
        <w:rPr>
          <w:i/>
          <w:iCs/>
        </w:rPr>
        <w:t xml:space="preserve"> cliquer sur chacune des pipettes (1 ou 2 traits) pour l’explication si vous </w:t>
      </w:r>
      <w:r w:rsidR="00953168" w:rsidRPr="00953168">
        <w:rPr>
          <w:i/>
          <w:iCs/>
        </w:rPr>
        <w:t>avez ouvert</w:t>
      </w:r>
      <w:r w:rsidRPr="00953168">
        <w:rPr>
          <w:i/>
          <w:iCs/>
        </w:rPr>
        <w:t xml:space="preserve"> le lien ci-dessus</w:t>
      </w:r>
    </w:p>
    <w:p w14:paraId="7F99A480" w14:textId="3265E000" w:rsidR="00FC1B3C" w:rsidRDefault="00FC1B3C" w:rsidP="00FC1B3C">
      <w:r>
        <w:rPr>
          <w:noProof/>
        </w:rPr>
        <w:drawing>
          <wp:anchor distT="0" distB="0" distL="114300" distR="114300" simplePos="0" relativeHeight="251665408" behindDoc="1" locked="0" layoutInCell="1" allowOverlap="1" wp14:anchorId="1D4799CF" wp14:editId="29B650C4">
            <wp:simplePos x="0" y="0"/>
            <wp:positionH relativeFrom="column">
              <wp:posOffset>-468</wp:posOffset>
            </wp:positionH>
            <wp:positionV relativeFrom="paragraph">
              <wp:posOffset>-1724</wp:posOffset>
            </wp:positionV>
            <wp:extent cx="3288379" cy="3364230"/>
            <wp:effectExtent l="0" t="0" r="762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3288379" cy="336423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723E21D5" wp14:editId="34C3E1FC">
                <wp:simplePos x="0" y="0"/>
                <wp:positionH relativeFrom="column">
                  <wp:posOffset>650463</wp:posOffset>
                </wp:positionH>
                <wp:positionV relativeFrom="paragraph">
                  <wp:posOffset>2724248</wp:posOffset>
                </wp:positionV>
                <wp:extent cx="808355"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808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C42A8" id="Connecteur droit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214.5pt" to="11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" strokecolor="#4472c4 [3204]"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2B8F6D75" wp14:editId="791ABA90">
                <wp:simplePos x="0" y="0"/>
                <wp:positionH relativeFrom="column">
                  <wp:posOffset>666115</wp:posOffset>
                </wp:positionH>
                <wp:positionV relativeFrom="paragraph">
                  <wp:posOffset>1187506</wp:posOffset>
                </wp:positionV>
                <wp:extent cx="80835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808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5B22C" id="Connecteur droit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5pt,93.5pt" to="116.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" strokecolor="#4472c4 [3204]" strokeweight=".5pt">
                <v:stroke joinstyle="miter"/>
              </v:line>
            </w:pict>
          </mc:Fallback>
        </mc:AlternateContent>
      </w:r>
    </w:p>
    <w:p w14:paraId="0F356CC1" w14:textId="52452E11" w:rsidR="00FC1B3C" w:rsidRDefault="00FC1B3C" w:rsidP="00FC1B3C"/>
    <w:p w14:paraId="43052B3A" w14:textId="07F980D8" w:rsidR="00FC1B3C" w:rsidRDefault="00FC1B3C" w:rsidP="00FC1B3C"/>
    <w:p w14:paraId="09D091E0" w14:textId="2178E2B8" w:rsidR="00FC1B3C" w:rsidRDefault="00FC1B3C" w:rsidP="00FC1B3C"/>
    <w:p w14:paraId="359E63FE" w14:textId="1BB69CAA" w:rsidR="00FC1B3C" w:rsidRDefault="00FC1B3C" w:rsidP="00FC1B3C">
      <w:r>
        <w:rPr>
          <w:noProof/>
        </w:rPr>
        <mc:AlternateContent>
          <mc:Choice Requires="wps">
            <w:drawing>
              <wp:anchor distT="0" distB="0" distL="114300" distR="114300" simplePos="0" relativeHeight="251669504" behindDoc="0" locked="0" layoutInCell="1" allowOverlap="1" wp14:anchorId="14E81B00" wp14:editId="7C933654">
                <wp:simplePos x="0" y="0"/>
                <wp:positionH relativeFrom="column">
                  <wp:posOffset>847202</wp:posOffset>
                </wp:positionH>
                <wp:positionV relativeFrom="paragraph">
                  <wp:posOffset>95829</wp:posOffset>
                </wp:positionV>
                <wp:extent cx="5645" cy="1441366"/>
                <wp:effectExtent l="38100" t="38100" r="71120" b="64135"/>
                <wp:wrapNone/>
                <wp:docPr id="8" name="Connecteur droit 8"/>
                <wp:cNvGraphicFramePr/>
                <a:graphic xmlns:a="http://schemas.openxmlformats.org/drawingml/2006/main">
                  <a:graphicData uri="http://schemas.microsoft.com/office/word/2010/wordprocessingShape">
                    <wps:wsp>
                      <wps:cNvCnPr/>
                      <wps:spPr>
                        <a:xfrm flipH="1">
                          <a:off x="0" y="0"/>
                          <a:ext cx="5645" cy="1441366"/>
                        </a:xfrm>
                        <a:prstGeom prst="line">
                          <a:avLst/>
                        </a:prstGeom>
                        <a:ln>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C28AB" id="Connecteur droit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7.55pt" to="67.15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" strokecolor="#4472c4 [3204]" strokeweight=".5pt">
                <v:stroke startarrow="classic" startarrowwidth="narrow" endarrow="classic" endarrowwidth="narrow" joinstyle="miter"/>
              </v:line>
            </w:pict>
          </mc:Fallback>
        </mc:AlternateContent>
      </w:r>
      <w:r>
        <w:rPr>
          <w:noProof/>
        </w:rPr>
        <mc:AlternateContent>
          <mc:Choice Requires="wps">
            <w:drawing>
              <wp:anchor distT="0" distB="0" distL="114300" distR="114300" simplePos="0" relativeHeight="251671552" behindDoc="0" locked="0" layoutInCell="1" allowOverlap="1" wp14:anchorId="1B9027B9" wp14:editId="2FF63EE5">
                <wp:simplePos x="0" y="0"/>
                <wp:positionH relativeFrom="column">
                  <wp:posOffset>3172718</wp:posOffset>
                </wp:positionH>
                <wp:positionV relativeFrom="paragraph">
                  <wp:posOffset>74058</wp:posOffset>
                </wp:positionV>
                <wp:extent cx="13035" cy="2051957"/>
                <wp:effectExtent l="38100" t="38100" r="63500" b="62865"/>
                <wp:wrapNone/>
                <wp:docPr id="9" name="Connecteur droit 9"/>
                <wp:cNvGraphicFramePr/>
                <a:graphic xmlns:a="http://schemas.openxmlformats.org/drawingml/2006/main">
                  <a:graphicData uri="http://schemas.microsoft.com/office/word/2010/wordprocessingShape">
                    <wps:wsp>
                      <wps:cNvCnPr/>
                      <wps:spPr>
                        <a:xfrm flipH="1">
                          <a:off x="0" y="0"/>
                          <a:ext cx="13035" cy="2051957"/>
                        </a:xfrm>
                        <a:prstGeom prst="line">
                          <a:avLst/>
                        </a:prstGeom>
                        <a:ln>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B5F53" id="Connecteur droit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5.85pt" to="250.8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" strokecolor="#4472c4 [3204]" strokeweight=".5pt">
                <v:stroke startarrow="classic" startarrowwidth="narrow" endarrow="classic" endarrowwidth="narrow" joinstyle="miter"/>
              </v:line>
            </w:pict>
          </mc:Fallback>
        </mc:AlternateContent>
      </w:r>
      <w:r>
        <w:rPr>
          <w:noProof/>
        </w:rPr>
        <mc:AlternateContent>
          <mc:Choice Requires="wps">
            <w:drawing>
              <wp:anchor distT="0" distB="0" distL="114300" distR="114300" simplePos="0" relativeHeight="251664384" behindDoc="0" locked="0" layoutInCell="1" allowOverlap="1" wp14:anchorId="12012965" wp14:editId="7ED756D9">
                <wp:simplePos x="0" y="0"/>
                <wp:positionH relativeFrom="column">
                  <wp:posOffset>2914866</wp:posOffset>
                </wp:positionH>
                <wp:positionV relativeFrom="paragraph">
                  <wp:posOffset>42371</wp:posOffset>
                </wp:positionV>
                <wp:extent cx="808355"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808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13664" id="Connecteur droit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3.35pt" to="293.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" strokecolor="#4472c4 [3204]" strokeweight=".5pt">
                <v:stroke joinstyle="miter"/>
              </v:line>
            </w:pict>
          </mc:Fallback>
        </mc:AlternateContent>
      </w:r>
    </w:p>
    <w:p w14:paraId="6EF2FBE6" w14:textId="215ED581" w:rsidR="00FC1B3C" w:rsidRDefault="00FC1B3C" w:rsidP="00FC1B3C">
      <w:r>
        <w:rPr>
          <w:noProof/>
        </w:rPr>
        <mc:AlternateContent>
          <mc:Choice Requires="wps">
            <w:drawing>
              <wp:anchor distT="45720" distB="45720" distL="114300" distR="114300" simplePos="0" relativeHeight="251673600" behindDoc="0" locked="0" layoutInCell="1" allowOverlap="1" wp14:anchorId="04458AD5" wp14:editId="5A550CBF">
                <wp:simplePos x="0" y="0"/>
                <wp:positionH relativeFrom="column">
                  <wp:posOffset>762712</wp:posOffset>
                </wp:positionH>
                <wp:positionV relativeFrom="paragraph">
                  <wp:posOffset>31059</wp:posOffset>
                </wp:positionV>
                <wp:extent cx="1240790" cy="989330"/>
                <wp:effectExtent l="0" t="0" r="0" b="127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989330"/>
                        </a:xfrm>
                        <a:prstGeom prst="rect">
                          <a:avLst/>
                        </a:prstGeom>
                        <a:noFill/>
                        <a:ln w="9525">
                          <a:noFill/>
                          <a:miter lim="800000"/>
                          <a:headEnd/>
                          <a:tailEnd/>
                        </a:ln>
                      </wps:spPr>
                      <wps:txbx>
                        <w:txbxContent>
                          <w:p w14:paraId="5CECA577" w14:textId="6BAF6717" w:rsidR="00FC1B3C" w:rsidRDefault="00FC1B3C" w:rsidP="00FC1B3C">
                            <w:pPr>
                              <w:jc w:val="center"/>
                            </w:pPr>
                            <w:r>
                              <w:t>10,0 mL (</w:t>
                            </w:r>
                            <w:proofErr w:type="spellStart"/>
                            <w:r>
                              <w:t>ext</w:t>
                            </w:r>
                            <w:proofErr w:type="spellEnd"/>
                            <w:r>
                              <w:t>) pour l’écoulement du liquide entre les deux traits de jauge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58AD5" id="_x0000_s1027" type="#_x0000_t202" style="position:absolute;margin-left:60.05pt;margin-top:2.45pt;width:97.7pt;height:77.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" filled="f" stroked="f">
                <v:textbox>
                  <w:txbxContent>
                    <w:p w14:paraId="5CECA577" w14:textId="6BAF6717" w:rsidR="00FC1B3C" w:rsidRDefault="00FC1B3C" w:rsidP="00FC1B3C">
                      <w:pPr>
                        <w:jc w:val="center"/>
                      </w:pPr>
                      <w:r>
                        <w:t>10,0 mL (</w:t>
                      </w:r>
                      <w:proofErr w:type="spellStart"/>
                      <w:r>
                        <w:t>ext</w:t>
                      </w:r>
                      <w:proofErr w:type="spellEnd"/>
                      <w:r>
                        <w:t>) pour l’écoulement du liquide entre les deux traits de jauge</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416F4A7C" wp14:editId="0CBFB8AA">
                <wp:simplePos x="0" y="0"/>
                <wp:positionH relativeFrom="column">
                  <wp:posOffset>3172718</wp:posOffset>
                </wp:positionH>
                <wp:positionV relativeFrom="paragraph">
                  <wp:posOffset>6936</wp:posOffset>
                </wp:positionV>
                <wp:extent cx="1240790" cy="1426845"/>
                <wp:effectExtent l="0" t="0" r="0" b="190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426845"/>
                        </a:xfrm>
                        <a:prstGeom prst="rect">
                          <a:avLst/>
                        </a:prstGeom>
                        <a:noFill/>
                        <a:ln w="9525">
                          <a:noFill/>
                          <a:miter lim="800000"/>
                          <a:headEnd/>
                          <a:tailEnd/>
                        </a:ln>
                      </wps:spPr>
                      <wps:txbx>
                        <w:txbxContent>
                          <w:p w14:paraId="042DF148" w14:textId="17EA1745" w:rsidR="00FC1B3C" w:rsidRDefault="00FC1B3C" w:rsidP="00FC1B3C">
                            <w:pPr>
                              <w:jc w:val="center"/>
                            </w:pPr>
                            <w:r>
                              <w:t>10,0 mL (</w:t>
                            </w:r>
                            <w:proofErr w:type="spellStart"/>
                            <w:r>
                              <w:t>ext</w:t>
                            </w:r>
                            <w:proofErr w:type="spellEnd"/>
                            <w:r>
                              <w:t>) pour l’écoulement du liquide entre le trait de jauge et la dernière goutte qui s’écoule par capillarité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4A7C" id="_x0000_s1028" type="#_x0000_t202" style="position:absolute;margin-left:249.8pt;margin-top:.55pt;width:97.7pt;height:112.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" filled="f" stroked="f">
                <v:textbox>
                  <w:txbxContent>
                    <w:p w14:paraId="042DF148" w14:textId="17EA1745" w:rsidR="00FC1B3C" w:rsidRDefault="00FC1B3C" w:rsidP="00FC1B3C">
                      <w:pPr>
                        <w:jc w:val="center"/>
                      </w:pPr>
                      <w:r>
                        <w:t>10,0 mL (</w:t>
                      </w:r>
                      <w:proofErr w:type="spellStart"/>
                      <w:r>
                        <w:t>ext</w:t>
                      </w:r>
                      <w:proofErr w:type="spellEnd"/>
                      <w:r>
                        <w:t>) pour l’écoulement du liquide entre le trait de jauge et la dernière goutte qui s’écoule par capillarité</w:t>
                      </w:r>
                    </w:p>
                  </w:txbxContent>
                </v:textbox>
                <w10:wrap type="square"/>
              </v:shape>
            </w:pict>
          </mc:Fallback>
        </mc:AlternateContent>
      </w:r>
    </w:p>
    <w:p w14:paraId="476B28CC" w14:textId="387005BE" w:rsidR="00FC1B3C" w:rsidRDefault="00953168" w:rsidP="00FC1B3C">
      <w:r>
        <w:rPr>
          <w:noProof/>
        </w:rPr>
        <mc:AlternateContent>
          <mc:Choice Requires="wps">
            <w:drawing>
              <wp:anchor distT="45720" distB="45720" distL="114300" distR="114300" simplePos="0" relativeHeight="251677696" behindDoc="0" locked="0" layoutInCell="1" allowOverlap="1" wp14:anchorId="12DA2ABB" wp14:editId="626A710A">
                <wp:simplePos x="0" y="0"/>
                <wp:positionH relativeFrom="column">
                  <wp:posOffset>5086040</wp:posOffset>
                </wp:positionH>
                <wp:positionV relativeFrom="paragraph">
                  <wp:posOffset>9806</wp:posOffset>
                </wp:positionV>
                <wp:extent cx="1240790" cy="1233170"/>
                <wp:effectExtent l="0" t="0" r="0" b="508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233170"/>
                        </a:xfrm>
                        <a:prstGeom prst="rect">
                          <a:avLst/>
                        </a:prstGeom>
                        <a:noFill/>
                        <a:ln w="9525">
                          <a:noFill/>
                          <a:miter lim="800000"/>
                          <a:headEnd/>
                          <a:tailEnd/>
                        </a:ln>
                      </wps:spPr>
                      <wps:txbx>
                        <w:txbxContent>
                          <w:p w14:paraId="42A0919D" w14:textId="77777777" w:rsidR="00953168" w:rsidRDefault="00953168" w:rsidP="00FC1B3C">
                            <w:pPr>
                              <w:jc w:val="center"/>
                            </w:pPr>
                            <w:proofErr w:type="gramStart"/>
                            <w:r>
                              <w:t>remarque</w:t>
                            </w:r>
                            <w:proofErr w:type="gramEnd"/>
                            <w:r>
                              <w:t xml:space="preserve"> : </w:t>
                            </w:r>
                          </w:p>
                          <w:p w14:paraId="003C0FFD" w14:textId="416108EF" w:rsidR="00FC1B3C" w:rsidRDefault="00FC1B3C" w:rsidP="00FC1B3C">
                            <w:pPr>
                              <w:jc w:val="center"/>
                            </w:pPr>
                            <w:r>
                              <w:t>10,0 mL (</w:t>
                            </w:r>
                            <w:proofErr w:type="spellStart"/>
                            <w:r>
                              <w:t>ext</w:t>
                            </w:r>
                            <w:proofErr w:type="spellEnd"/>
                            <w:r>
                              <w:t>) signifie 10,0 mL effectivement versé à l’</w:t>
                            </w:r>
                            <w:r w:rsidRPr="00FC1B3C">
                              <w:rPr>
                                <w:b/>
                                <w:bCs/>
                              </w:rPr>
                              <w:t>ext</w:t>
                            </w:r>
                            <w:r>
                              <w:t>érieur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A2ABB" id="_x0000_s1029" type="#_x0000_t202" style="position:absolute;margin-left:400.5pt;margin-top:.75pt;width:97.7pt;height:97.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" filled="f" stroked="f">
                <v:textbox>
                  <w:txbxContent>
                    <w:p w14:paraId="42A0919D" w14:textId="77777777" w:rsidR="00953168" w:rsidRDefault="00953168" w:rsidP="00FC1B3C">
                      <w:pPr>
                        <w:jc w:val="center"/>
                      </w:pPr>
                      <w:proofErr w:type="gramStart"/>
                      <w:r>
                        <w:t>remarque</w:t>
                      </w:r>
                      <w:proofErr w:type="gramEnd"/>
                      <w:r>
                        <w:t xml:space="preserve"> : </w:t>
                      </w:r>
                    </w:p>
                    <w:p w14:paraId="003C0FFD" w14:textId="416108EF" w:rsidR="00FC1B3C" w:rsidRDefault="00FC1B3C" w:rsidP="00FC1B3C">
                      <w:pPr>
                        <w:jc w:val="center"/>
                      </w:pPr>
                      <w:r>
                        <w:t>10,0 mL (</w:t>
                      </w:r>
                      <w:proofErr w:type="spellStart"/>
                      <w:r>
                        <w:t>ext</w:t>
                      </w:r>
                      <w:proofErr w:type="spellEnd"/>
                      <w:r>
                        <w:t>) signifie 10,0 mL effectivement versé à l’</w:t>
                      </w:r>
                      <w:r w:rsidRPr="00FC1B3C">
                        <w:rPr>
                          <w:b/>
                          <w:bCs/>
                        </w:rPr>
                        <w:t>ext</w:t>
                      </w:r>
                      <w:r>
                        <w:t>érieur</w:t>
                      </w:r>
                    </w:p>
                  </w:txbxContent>
                </v:textbox>
                <w10:wrap type="square"/>
              </v:shape>
            </w:pict>
          </mc:Fallback>
        </mc:AlternateContent>
      </w:r>
    </w:p>
    <w:p w14:paraId="76692195" w14:textId="2F9D165F" w:rsidR="00FC1B3C" w:rsidRDefault="00FC1B3C" w:rsidP="00FC1B3C"/>
    <w:p w14:paraId="6621ABBC" w14:textId="1D83D8E0" w:rsidR="00FC1B3C" w:rsidRDefault="00FC1B3C" w:rsidP="00FC1B3C"/>
    <w:p w14:paraId="314C18B9" w14:textId="3BE0347D" w:rsidR="00FC1B3C" w:rsidRDefault="00FC1B3C" w:rsidP="00FC1B3C"/>
    <w:p w14:paraId="47E14ADE" w14:textId="2B554FBE" w:rsidR="00FC1B3C" w:rsidRDefault="00FC1B3C" w:rsidP="00FC1B3C"/>
    <w:p w14:paraId="29E751CA" w14:textId="0559AD87" w:rsidR="00FC1B3C" w:rsidRDefault="00FC1B3C" w:rsidP="00FC1B3C">
      <w:r>
        <w:rPr>
          <w:noProof/>
        </w:rPr>
        <mc:AlternateContent>
          <mc:Choice Requires="wps">
            <w:drawing>
              <wp:anchor distT="0" distB="0" distL="114300" distR="114300" simplePos="0" relativeHeight="251667456" behindDoc="0" locked="0" layoutInCell="1" allowOverlap="1" wp14:anchorId="66684697" wp14:editId="4BDA0122">
                <wp:simplePos x="0" y="0"/>
                <wp:positionH relativeFrom="column">
                  <wp:posOffset>2869098</wp:posOffset>
                </wp:positionH>
                <wp:positionV relativeFrom="paragraph">
                  <wp:posOffset>167717</wp:posOffset>
                </wp:positionV>
                <wp:extent cx="808355"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808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CE1D0" id="Connecteur droit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9pt,13.2pt" to="289.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" strokecolor="#4472c4 [3204]" strokeweight=".5pt">
                <v:stroke joinstyle="miter"/>
              </v:line>
            </w:pict>
          </mc:Fallback>
        </mc:AlternateContent>
      </w:r>
    </w:p>
    <w:p w14:paraId="4B20A286" w14:textId="66E83304" w:rsidR="00396450" w:rsidRDefault="00396450" w:rsidP="00396450">
      <w:pPr>
        <w:pStyle w:val="Paragraphedeliste"/>
        <w:numPr>
          <w:ilvl w:val="0"/>
          <w:numId w:val="1"/>
        </w:numPr>
      </w:pPr>
      <w:proofErr w:type="gramStart"/>
      <w:r>
        <w:t>l’étalonnage</w:t>
      </w:r>
      <w:proofErr w:type="gramEnd"/>
      <w:r w:rsidR="009733B2">
        <w:t xml:space="preserve"> du pH-mètre</w:t>
      </w:r>
      <w:r>
        <w:t xml:space="preserve"> : </w:t>
      </w:r>
    </w:p>
    <w:p w14:paraId="09FD8E69" w14:textId="77777777" w:rsidR="009733B2" w:rsidRDefault="009733B2" w:rsidP="009733B2">
      <w:pPr>
        <w:pStyle w:val="Paragraphedeliste"/>
        <w:numPr>
          <w:ilvl w:val="1"/>
          <w:numId w:val="1"/>
        </w:numPr>
      </w:pPr>
      <w:proofErr w:type="gramStart"/>
      <w:r>
        <w:t>pourquoi</w:t>
      </w:r>
      <w:proofErr w:type="gramEnd"/>
      <w:r>
        <w:t xml:space="preserve"> étalonner ?</w:t>
      </w:r>
      <w:r w:rsidRPr="009733B2">
        <w:t xml:space="preserve"> </w:t>
      </w:r>
    </w:p>
    <w:p w14:paraId="6800DF4F" w14:textId="4F22ED7C" w:rsidR="009733B2" w:rsidRDefault="009733B2" w:rsidP="009733B2">
      <w:pPr>
        <w:pStyle w:val="Paragraphedeliste"/>
        <w:ind w:left="1440" w:firstLine="684"/>
      </w:pPr>
      <w:proofErr w:type="gramStart"/>
      <w:r>
        <w:t>le</w:t>
      </w:r>
      <w:proofErr w:type="gramEnd"/>
      <w:r>
        <w:t xml:space="preserve"> pH-mètre est un </w:t>
      </w:r>
      <w:r w:rsidRPr="009733B2">
        <w:rPr>
          <w:b/>
          <w:bCs/>
        </w:rPr>
        <w:t>potentiomètre</w:t>
      </w:r>
      <w:r>
        <w:t xml:space="preserve"> qui mesure une </w:t>
      </w:r>
      <w:r w:rsidRPr="009733B2">
        <w:rPr>
          <w:b/>
          <w:bCs/>
        </w:rPr>
        <w:t>différence de potentiel</w:t>
      </w:r>
      <w:r>
        <w:t xml:space="preserve"> entre une </w:t>
      </w:r>
      <w:r w:rsidRPr="009733B2">
        <w:rPr>
          <w:b/>
          <w:bCs/>
        </w:rPr>
        <w:t>électrode de verre</w:t>
      </w:r>
      <w:r>
        <w:t xml:space="preserve"> (électrode indicatrice du pH) et une </w:t>
      </w:r>
      <w:r w:rsidRPr="009733B2">
        <w:rPr>
          <w:b/>
          <w:bCs/>
        </w:rPr>
        <w:t>électrode de référence</w:t>
      </w:r>
      <w:r>
        <w:t xml:space="preserve">. La différence de potentiel ainsi mesurée étant une </w:t>
      </w:r>
      <w:r w:rsidRPr="009733B2">
        <w:rPr>
          <w:b/>
          <w:bCs/>
        </w:rPr>
        <w:t>fonction affine du pH</w:t>
      </w:r>
      <w:r>
        <w:t>, l’utilisation de deux solutions tampons pH 7 et 4 permet d’ajuster la pente et l’ordonnée à l’origine. (Toute autre phrase précise et concise qui explique la même idée vaut autant de points !)</w:t>
      </w:r>
    </w:p>
    <w:p w14:paraId="2B88C6EF" w14:textId="134ED3C0" w:rsidR="009733B2" w:rsidRDefault="009733B2" w:rsidP="009733B2">
      <w:pPr>
        <w:pStyle w:val="Paragraphedeliste"/>
        <w:numPr>
          <w:ilvl w:val="1"/>
          <w:numId w:val="1"/>
        </w:numPr>
      </w:pPr>
      <w:proofErr w:type="gramStart"/>
      <w:r>
        <w:t>erreur</w:t>
      </w:r>
      <w:proofErr w:type="gramEnd"/>
      <w:r>
        <w:t xml:space="preserve"> à ne plus faire lors de l’étalonnage :</w:t>
      </w:r>
    </w:p>
    <w:p w14:paraId="521E295E" w14:textId="142B374D" w:rsidR="009733B2" w:rsidRDefault="009733B2" w:rsidP="009733B2">
      <w:pPr>
        <w:ind w:left="1416" w:firstLine="696"/>
      </w:pPr>
      <w:proofErr w:type="gramStart"/>
      <w:r>
        <w:t>la</w:t>
      </w:r>
      <w:proofErr w:type="gramEnd"/>
      <w:r>
        <w:t xml:space="preserve"> mesure du pH se fait par mesure de différence de potentiel entre une électrode de verre (c’est son nom, voir sa description éventuelle dans le cours de Mme </w:t>
      </w:r>
      <w:proofErr w:type="spellStart"/>
      <w:r>
        <w:t>Godat</w:t>
      </w:r>
      <w:proofErr w:type="spellEnd"/>
      <w:r>
        <w:t xml:space="preserve">) et une électrode de référence. Il faut que les deux électrodes ainsi citées </w:t>
      </w:r>
      <w:r w:rsidRPr="009733B2">
        <w:rPr>
          <w:b/>
          <w:bCs/>
        </w:rPr>
        <w:t>plongent dans la même solution</w:t>
      </w:r>
      <w:r>
        <w:t xml:space="preserve"> pour que </w:t>
      </w:r>
      <w:r w:rsidRPr="009733B2">
        <w:rPr>
          <w:b/>
          <w:bCs/>
        </w:rPr>
        <w:t>le circuit électrique de mesure soit fermé</w:t>
      </w:r>
      <w:r>
        <w:t xml:space="preserve"> (le prochain TP sera sur les piles de concentration : l’utilisation d’un pont salin permettra de fermer le circuit pour que les charges électriques (ions) puissent se déplacer).</w:t>
      </w:r>
      <w:r>
        <w:tab/>
      </w:r>
      <w:r>
        <w:tab/>
      </w:r>
    </w:p>
    <w:p w14:paraId="58F5536C" w14:textId="0E493AB3" w:rsidR="00BC4DB7" w:rsidRDefault="00BC4DB7" w:rsidP="00BC4DB7">
      <w:pPr>
        <w:pStyle w:val="Paragraphedeliste"/>
        <w:numPr>
          <w:ilvl w:val="0"/>
          <w:numId w:val="1"/>
        </w:numPr>
      </w:pPr>
      <w:r>
        <w:t xml:space="preserve">Autre exemple : le </w:t>
      </w:r>
      <w:r w:rsidRPr="00BC4DB7">
        <w:rPr>
          <w:b/>
          <w:bCs/>
        </w:rPr>
        <w:t>conductimètre</w:t>
      </w:r>
      <w:r>
        <w:t xml:space="preserve"> est un appareil qui mesure la </w:t>
      </w:r>
      <w:r w:rsidRPr="00BC4DB7">
        <w:rPr>
          <w:b/>
          <w:bCs/>
        </w:rPr>
        <w:t>conductance</w:t>
      </w:r>
      <w:r>
        <w:t xml:space="preserve"> d’une portion de solution </w:t>
      </w:r>
      <w:r w:rsidRPr="00BC4DB7">
        <w:rPr>
          <w:b/>
          <w:bCs/>
        </w:rPr>
        <w:t xml:space="preserve">entre deux </w:t>
      </w:r>
      <w:r w:rsidRPr="00BC4DB7">
        <w:rPr>
          <w:b/>
          <w:bCs/>
        </w:rPr>
        <w:t>plaques</w:t>
      </w:r>
      <w:r w:rsidRPr="00BC4DB7">
        <w:rPr>
          <w:b/>
          <w:bCs/>
        </w:rPr>
        <w:t xml:space="preserve"> de platine platinées parallèles</w:t>
      </w:r>
      <w:r>
        <w:t xml:space="preserve">. La </w:t>
      </w:r>
      <w:r w:rsidRPr="00BC4DB7">
        <w:rPr>
          <w:b/>
          <w:bCs/>
        </w:rPr>
        <w:t>conductivité</w:t>
      </w:r>
      <w:r>
        <w:t xml:space="preserve"> étant une grandeur </w:t>
      </w:r>
      <w:r w:rsidRPr="00BC4DB7">
        <w:rPr>
          <w:b/>
          <w:bCs/>
        </w:rPr>
        <w:t>proportionnelle à la conductance</w:t>
      </w:r>
      <w:r>
        <w:t xml:space="preserve">, un étalonnage avec </w:t>
      </w:r>
      <w:r w:rsidRPr="00BC4DB7">
        <w:rPr>
          <w:b/>
          <w:bCs/>
        </w:rPr>
        <w:t xml:space="preserve">une unique solution </w:t>
      </w:r>
      <w:r>
        <w:rPr>
          <w:b/>
          <w:bCs/>
        </w:rPr>
        <w:t>ionique (de K</w:t>
      </w:r>
      <w:r>
        <w:rPr>
          <w:b/>
          <w:bCs/>
          <w:vertAlign w:val="superscript"/>
        </w:rPr>
        <w:t>+</w:t>
      </w:r>
      <w:r>
        <w:rPr>
          <w:b/>
          <w:bCs/>
        </w:rPr>
        <w:t>, Cl</w:t>
      </w:r>
      <w:r>
        <w:rPr>
          <w:b/>
          <w:bCs/>
          <w:vertAlign w:val="superscript"/>
        </w:rPr>
        <w:t>-</w:t>
      </w:r>
      <w:r>
        <w:rPr>
          <w:b/>
          <w:bCs/>
        </w:rPr>
        <w:t xml:space="preserve">) </w:t>
      </w:r>
      <w:r w:rsidRPr="00BC4DB7">
        <w:rPr>
          <w:b/>
          <w:bCs/>
        </w:rPr>
        <w:t>dans la gamme de concentration souhaitée</w:t>
      </w:r>
      <w:r>
        <w:t xml:space="preserve"> suffit pour </w:t>
      </w:r>
      <w:r>
        <w:t>déterminer</w:t>
      </w:r>
      <w:r>
        <w:t xml:space="preserve"> la </w:t>
      </w:r>
      <w:r w:rsidRPr="00BC4DB7">
        <w:rPr>
          <w:b/>
          <w:bCs/>
        </w:rPr>
        <w:t>constante de cellule</w:t>
      </w:r>
      <w:r>
        <w:t xml:space="preserve"> (coefficient de proportionnalité entre la conductance de la portion de solution étudiée et la conductivité</w:t>
      </w:r>
      <w:r>
        <w:t>).</w:t>
      </w:r>
    </w:p>
    <w:p w14:paraId="2A5DABC3" w14:textId="2533970D" w:rsidR="00953168" w:rsidRPr="00953168" w:rsidRDefault="00953168" w:rsidP="00953168">
      <w:pPr>
        <w:ind w:left="360"/>
        <w:jc w:val="center"/>
        <w:rPr>
          <w:i/>
          <w:iCs/>
        </w:rPr>
      </w:pPr>
      <w:r w:rsidRPr="00953168">
        <w:rPr>
          <w:i/>
          <w:iCs/>
        </w:rPr>
        <w:t>Merci de votre attention, et bon travail !</w:t>
      </w:r>
    </w:p>
    <w:sectPr w:rsidR="00953168" w:rsidRPr="00953168" w:rsidSect="00953168">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76101"/>
    <w:multiLevelType w:val="hybridMultilevel"/>
    <w:tmpl w:val="C5DC2F16"/>
    <w:lvl w:ilvl="0" w:tplc="5D3E73CC">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50"/>
    <w:rsid w:val="00046D78"/>
    <w:rsid w:val="00093873"/>
    <w:rsid w:val="0018152E"/>
    <w:rsid w:val="002B46FB"/>
    <w:rsid w:val="00396450"/>
    <w:rsid w:val="004C6702"/>
    <w:rsid w:val="00562127"/>
    <w:rsid w:val="00830F40"/>
    <w:rsid w:val="00953168"/>
    <w:rsid w:val="00966C19"/>
    <w:rsid w:val="009733B2"/>
    <w:rsid w:val="00A16024"/>
    <w:rsid w:val="00A27282"/>
    <w:rsid w:val="00BC4DB7"/>
    <w:rsid w:val="00C77B20"/>
    <w:rsid w:val="00CF5DB7"/>
    <w:rsid w:val="00FC1B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F470"/>
  <w15:chartTrackingRefBased/>
  <w15:docId w15:val="{ECA9AAEE-C207-43CA-AB61-E03E9911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6450"/>
    <w:pPr>
      <w:ind w:left="720"/>
      <w:contextualSpacing/>
    </w:pPr>
  </w:style>
  <w:style w:type="character" w:styleId="Lienhypertexte">
    <w:name w:val="Hyperlink"/>
    <w:basedOn w:val="Policepardfaut"/>
    <w:uiPriority w:val="99"/>
    <w:unhideWhenUsed/>
    <w:rsid w:val="00396450"/>
    <w:rPr>
      <w:color w:val="0563C1" w:themeColor="hyperlink"/>
      <w:u w:val="single"/>
    </w:rPr>
  </w:style>
  <w:style w:type="character" w:styleId="Mentionnonrsolue">
    <w:name w:val="Unresolved Mention"/>
    <w:basedOn w:val="Policepardfaut"/>
    <w:uiPriority w:val="99"/>
    <w:semiHidden/>
    <w:unhideWhenUsed/>
    <w:rsid w:val="00396450"/>
    <w:rPr>
      <w:color w:val="605E5C"/>
      <w:shd w:val="clear" w:color="auto" w:fill="E1DFDD"/>
    </w:rPr>
  </w:style>
  <w:style w:type="table" w:styleId="Grilledutableau">
    <w:name w:val="Table Grid"/>
    <w:basedOn w:val="TableauNormal"/>
    <w:uiPriority w:val="39"/>
    <w:rsid w:val="00A16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hyperlink" Target="http://chimactiv.agroparistech.fr/fr/bases/pipetage/theori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hyperlink" Target="https://colab.research.google.com/drive/1bA0wgIhOXrHHxBWh0V3LwmhzvTfSpQnP?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900</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Pierre-Franck Ravet</dc:creator>
  <cp:keywords/>
  <dc:description/>
  <cp:lastModifiedBy>Pierre-Franck Ravet</cp:lastModifiedBy>
  <cp:revision>2</cp:revision>
  <dcterms:created xsi:type="dcterms:W3CDTF">2021-05-03T13:01:00Z</dcterms:created>
  <dcterms:modified xsi:type="dcterms:W3CDTF">2021-05-03T18:05:00Z</dcterms:modified>
</cp:coreProperties>
</file>