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D84C" w14:textId="73660378" w:rsidR="00E76380" w:rsidRPr="00E76380" w:rsidRDefault="00E76380" w:rsidP="00E76380">
      <w:pPr>
        <w:pBdr>
          <w:top w:val="single" w:sz="4" w:space="1" w:color="auto"/>
          <w:left w:val="single" w:sz="4" w:space="4" w:color="auto"/>
          <w:bottom w:val="single" w:sz="4" w:space="1" w:color="auto"/>
          <w:right w:val="single" w:sz="4" w:space="4" w:color="auto"/>
        </w:pBdr>
        <w:jc w:val="center"/>
        <w:rPr>
          <w:rFonts w:ascii="Calibri" w:hAnsi="Calibri" w:cs="Calibri"/>
          <w:b/>
          <w:bCs/>
          <w:sz w:val="24"/>
          <w:szCs w:val="24"/>
        </w:rPr>
      </w:pPr>
      <w:r w:rsidRPr="00E76380">
        <w:rPr>
          <w:rFonts w:ascii="Calibri" w:hAnsi="Calibri" w:cs="Calibri"/>
          <w:b/>
          <w:bCs/>
          <w:sz w:val="24"/>
          <w:szCs w:val="24"/>
        </w:rPr>
        <w:t>Lettres-philosophie</w:t>
      </w:r>
    </w:p>
    <w:p w14:paraId="2BA01AE4" w14:textId="28F8E024" w:rsidR="00E76380" w:rsidRDefault="00E76380" w:rsidP="00E76380">
      <w:pPr>
        <w:pBdr>
          <w:top w:val="single" w:sz="4" w:space="1" w:color="auto"/>
          <w:left w:val="single" w:sz="4" w:space="4" w:color="auto"/>
          <w:bottom w:val="single" w:sz="4" w:space="1" w:color="auto"/>
          <w:right w:val="single" w:sz="4" w:space="4" w:color="auto"/>
        </w:pBdr>
        <w:jc w:val="center"/>
        <w:rPr>
          <w:rFonts w:ascii="Calibri" w:hAnsi="Calibri" w:cs="Calibri"/>
          <w:b/>
          <w:bCs/>
          <w:sz w:val="24"/>
          <w:szCs w:val="24"/>
        </w:rPr>
      </w:pPr>
      <w:r w:rsidRPr="00E76380">
        <w:rPr>
          <w:rFonts w:ascii="Calibri" w:hAnsi="Calibri" w:cs="Calibri"/>
          <w:b/>
          <w:bCs/>
          <w:sz w:val="24"/>
          <w:szCs w:val="24"/>
        </w:rPr>
        <w:t>Programme 2024-2025</w:t>
      </w:r>
    </w:p>
    <w:p w14:paraId="6EBB86F0" w14:textId="680BCDA4" w:rsidR="00AB196D" w:rsidRPr="00E76380" w:rsidRDefault="00AB196D" w:rsidP="00E76380">
      <w:pPr>
        <w:pBdr>
          <w:top w:val="single" w:sz="4" w:space="1" w:color="auto"/>
          <w:left w:val="single" w:sz="4" w:space="4" w:color="auto"/>
          <w:bottom w:val="single" w:sz="4" w:space="1" w:color="auto"/>
          <w:right w:val="single" w:sz="4" w:space="4" w:color="auto"/>
        </w:pBdr>
        <w:jc w:val="center"/>
        <w:rPr>
          <w:rFonts w:ascii="Calibri" w:hAnsi="Calibri" w:cs="Calibri"/>
          <w:b/>
          <w:bCs/>
          <w:sz w:val="24"/>
          <w:szCs w:val="24"/>
        </w:rPr>
      </w:pPr>
      <w:r>
        <w:rPr>
          <w:rFonts w:ascii="Calibri" w:hAnsi="Calibri" w:cs="Calibri"/>
          <w:b/>
          <w:bCs/>
          <w:sz w:val="24"/>
          <w:szCs w:val="24"/>
        </w:rPr>
        <w:t xml:space="preserve">Madame Febvre </w:t>
      </w:r>
      <w:proofErr w:type="spellStart"/>
      <w:r>
        <w:rPr>
          <w:rFonts w:ascii="Calibri" w:hAnsi="Calibri" w:cs="Calibri"/>
          <w:b/>
          <w:bCs/>
          <w:sz w:val="24"/>
          <w:szCs w:val="24"/>
        </w:rPr>
        <w:t>Flory</w:t>
      </w:r>
      <w:proofErr w:type="spellEnd"/>
    </w:p>
    <w:p w14:paraId="38A44CBB" w14:textId="6EC272F6" w:rsidR="00E76380" w:rsidRDefault="00E76380" w:rsidP="00E76380">
      <w:pPr>
        <w:jc w:val="both"/>
      </w:pPr>
      <w:r w:rsidRPr="00A75C41">
        <w:t>Le programme de l’année 2023-2024</w:t>
      </w:r>
      <w:r>
        <w:t xml:space="preserve"> est INDIVIDU ET COMMUNAUTÉ. </w:t>
      </w:r>
    </w:p>
    <w:p w14:paraId="34C137FC" w14:textId="01CE8E17" w:rsidR="00E76380" w:rsidRPr="00E76380" w:rsidRDefault="00E76380" w:rsidP="00E76380">
      <w:pPr>
        <w:jc w:val="both"/>
      </w:pPr>
      <w:r w:rsidRPr="00A75C41">
        <w:t xml:space="preserve">Il convient que vous vous soyez procuré </w:t>
      </w:r>
      <w:r w:rsidRPr="00A75C41">
        <w:rPr>
          <w:b/>
          <w:bCs/>
          <w:u w:val="single"/>
        </w:rPr>
        <w:t>et que vous ayez lu avant la rentrée</w:t>
      </w:r>
      <w:r w:rsidRPr="00A75C41">
        <w:t xml:space="preserve"> les œuvres au programme </w:t>
      </w:r>
      <w:r w:rsidRPr="00A75C41">
        <w:rPr>
          <w:b/>
          <w:bCs/>
        </w:rPr>
        <w:t>dans l’édition demandée</w:t>
      </w:r>
      <w:r w:rsidRPr="00A75C41">
        <w:t xml:space="preserve"> (</w:t>
      </w:r>
      <w:r w:rsidRPr="00A75C41">
        <w:rPr>
          <w:b/>
          <w:bCs/>
          <w:u w:val="single"/>
        </w:rPr>
        <w:t>attention à ne pas vous tromper sinon vous n’aurez pas la même pagination</w:t>
      </w:r>
      <w:r w:rsidRPr="00A75C41">
        <w:t>) </w:t>
      </w:r>
    </w:p>
    <w:p w14:paraId="150FAF27" w14:textId="2A7068A5" w:rsidR="00E76380" w:rsidRPr="00527B46" w:rsidRDefault="00E76380" w:rsidP="00E76380">
      <w:pPr>
        <w:jc w:val="both"/>
        <w:rPr>
          <w:rFonts w:ascii="Calibri" w:hAnsi="Calibri" w:cs="Calibri"/>
          <w:sz w:val="24"/>
          <w:szCs w:val="24"/>
        </w:rPr>
      </w:pPr>
      <w:r>
        <w:rPr>
          <w:rFonts w:ascii="Calibri" w:hAnsi="Calibri" w:cs="Calibri"/>
          <w:b/>
          <w:bCs/>
          <w:sz w:val="24"/>
          <w:szCs w:val="24"/>
          <w:u w:val="single"/>
        </w:rPr>
        <w:t>OEUVRES À SE FOURNIR OBLIGATOIREMENT DANS LES EDITIONS SUIVANTES</w:t>
      </w:r>
      <w:r>
        <w:rPr>
          <w:rFonts w:ascii="Calibri" w:hAnsi="Calibri" w:cs="Calibri"/>
          <w:b/>
          <w:bCs/>
          <w:sz w:val="24"/>
          <w:szCs w:val="24"/>
          <w:u w:val="single"/>
        </w:rPr>
        <w:t> </w:t>
      </w:r>
      <w:r w:rsidRPr="00527B46">
        <w:rPr>
          <w:rFonts w:ascii="Calibri" w:hAnsi="Calibri" w:cs="Calibri"/>
          <w:b/>
          <w:bCs/>
          <w:sz w:val="24"/>
          <w:szCs w:val="24"/>
        </w:rPr>
        <w:t>:</w:t>
      </w:r>
      <w:r>
        <w:rPr>
          <w:rFonts w:ascii="Calibri" w:hAnsi="Calibri" w:cs="Calibri"/>
          <w:b/>
          <w:bCs/>
          <w:sz w:val="24"/>
          <w:szCs w:val="24"/>
          <w:u w:val="single"/>
        </w:rPr>
        <w:t xml:space="preserve"> </w:t>
      </w:r>
    </w:p>
    <w:p w14:paraId="15BF3905" w14:textId="6B7D460A" w:rsidR="00E76380" w:rsidRPr="00527B46" w:rsidRDefault="00E76380" w:rsidP="00E76380">
      <w:pPr>
        <w:spacing w:after="0"/>
        <w:jc w:val="both"/>
        <w:rPr>
          <w:rFonts w:ascii="Calibri" w:hAnsi="Calibri" w:cs="Calibri"/>
          <w:sz w:val="24"/>
          <w:szCs w:val="24"/>
        </w:rPr>
      </w:pPr>
      <w:r w:rsidRPr="00527B46">
        <w:rPr>
          <w:rFonts w:ascii="Calibri" w:hAnsi="Calibri" w:cs="Calibri"/>
          <w:sz w:val="24"/>
          <w:szCs w:val="24"/>
        </w:rPr>
        <w:t xml:space="preserve">- Baruch Spinoza, </w:t>
      </w:r>
      <w:bookmarkStart w:id="0" w:name="_Hlk166527489"/>
      <w:r w:rsidRPr="00E805BD">
        <w:rPr>
          <w:rFonts w:ascii="Calibri" w:hAnsi="Calibri" w:cs="Calibri"/>
          <w:i/>
          <w:iCs/>
          <w:sz w:val="24"/>
          <w:szCs w:val="24"/>
        </w:rPr>
        <w:t>Traité théologico-politique</w:t>
      </w:r>
      <w:r w:rsidRPr="00527B46">
        <w:rPr>
          <w:rFonts w:ascii="Calibri" w:hAnsi="Calibri" w:cs="Calibri"/>
          <w:sz w:val="24"/>
          <w:szCs w:val="24"/>
        </w:rPr>
        <w:t xml:space="preserve">, </w:t>
      </w:r>
      <w:bookmarkEnd w:id="0"/>
      <w:r w:rsidRPr="00527B46">
        <w:rPr>
          <w:rFonts w:ascii="Calibri" w:hAnsi="Calibri" w:cs="Calibri"/>
          <w:sz w:val="24"/>
          <w:szCs w:val="24"/>
        </w:rPr>
        <w:t xml:space="preserve">préface et chapitres XVI à XX, Œuvres II, G.F., traduction de Charles </w:t>
      </w:r>
      <w:proofErr w:type="spellStart"/>
      <w:r w:rsidRPr="00527B46">
        <w:rPr>
          <w:rFonts w:ascii="Calibri" w:hAnsi="Calibri" w:cs="Calibri"/>
          <w:sz w:val="24"/>
          <w:szCs w:val="24"/>
        </w:rPr>
        <w:t>Appuhn</w:t>
      </w:r>
      <w:proofErr w:type="spellEnd"/>
      <w:r>
        <w:rPr>
          <w:rFonts w:ascii="Calibri" w:hAnsi="Calibri" w:cs="Calibri"/>
          <w:sz w:val="24"/>
          <w:szCs w:val="24"/>
        </w:rPr>
        <w:t xml:space="preserve">, </w:t>
      </w:r>
      <w:r w:rsidRPr="00E76380">
        <w:rPr>
          <w:rFonts w:ascii="Calibri" w:hAnsi="Calibri" w:cs="Calibri"/>
          <w:b/>
          <w:bCs/>
          <w:sz w:val="24"/>
          <w:szCs w:val="24"/>
        </w:rPr>
        <w:t>édition prépas scientifiques</w:t>
      </w:r>
    </w:p>
    <w:p w14:paraId="63FB4417" w14:textId="34CF4F44" w:rsidR="00E76380" w:rsidRPr="00527B46" w:rsidRDefault="00E76380" w:rsidP="00E76380">
      <w:pPr>
        <w:spacing w:after="0"/>
        <w:jc w:val="both"/>
        <w:rPr>
          <w:rFonts w:ascii="Calibri" w:hAnsi="Calibri" w:cs="Calibri"/>
          <w:sz w:val="24"/>
          <w:szCs w:val="24"/>
        </w:rPr>
      </w:pPr>
      <w:r w:rsidRPr="00527B46">
        <w:rPr>
          <w:rFonts w:ascii="Calibri" w:hAnsi="Calibri" w:cs="Calibri"/>
          <w:sz w:val="24"/>
          <w:szCs w:val="24"/>
        </w:rPr>
        <w:t xml:space="preserve">- Eschyle, </w:t>
      </w:r>
      <w:r w:rsidRPr="00E76380">
        <w:rPr>
          <w:rFonts w:ascii="Calibri" w:hAnsi="Calibri" w:cs="Calibri"/>
          <w:i/>
          <w:iCs/>
          <w:sz w:val="24"/>
          <w:szCs w:val="24"/>
        </w:rPr>
        <w:t>Œuvres complètes</w:t>
      </w:r>
      <w:r>
        <w:rPr>
          <w:rFonts w:ascii="Calibri" w:hAnsi="Calibri" w:cs="Calibri"/>
          <w:sz w:val="24"/>
          <w:szCs w:val="24"/>
        </w:rPr>
        <w:t xml:space="preserve">, Folio, </w:t>
      </w:r>
      <w:r w:rsidRPr="00527B46">
        <w:rPr>
          <w:rFonts w:ascii="Calibri" w:hAnsi="Calibri" w:cs="Calibri"/>
          <w:sz w:val="24"/>
          <w:szCs w:val="24"/>
        </w:rPr>
        <w:t xml:space="preserve">traduction de Paul </w:t>
      </w:r>
      <w:proofErr w:type="spellStart"/>
      <w:r w:rsidRPr="00527B46">
        <w:rPr>
          <w:rFonts w:ascii="Calibri" w:hAnsi="Calibri" w:cs="Calibri"/>
          <w:sz w:val="24"/>
          <w:szCs w:val="24"/>
        </w:rPr>
        <w:t>Mazon</w:t>
      </w:r>
      <w:proofErr w:type="spellEnd"/>
      <w:r>
        <w:rPr>
          <w:rFonts w:ascii="Calibri" w:hAnsi="Calibri" w:cs="Calibri"/>
          <w:sz w:val="24"/>
          <w:szCs w:val="24"/>
        </w:rPr>
        <w:t> :</w:t>
      </w:r>
      <w:r w:rsidRPr="00E76380">
        <w:rPr>
          <w:rFonts w:ascii="Calibri" w:hAnsi="Calibri" w:cs="Calibri"/>
          <w:i/>
          <w:iCs/>
          <w:sz w:val="24"/>
          <w:szCs w:val="24"/>
        </w:rPr>
        <w:t xml:space="preserve"> </w:t>
      </w:r>
      <w:r w:rsidRPr="00E805BD">
        <w:rPr>
          <w:rFonts w:ascii="Calibri" w:hAnsi="Calibri" w:cs="Calibri"/>
          <w:i/>
          <w:iCs/>
          <w:sz w:val="24"/>
          <w:szCs w:val="24"/>
        </w:rPr>
        <w:t>Les Suppliantes</w:t>
      </w:r>
      <w:r w:rsidRPr="00527B46">
        <w:rPr>
          <w:rFonts w:ascii="Calibri" w:hAnsi="Calibri" w:cs="Calibri"/>
          <w:sz w:val="24"/>
          <w:szCs w:val="24"/>
        </w:rPr>
        <w:t xml:space="preserve"> et </w:t>
      </w:r>
      <w:r w:rsidRPr="00E805BD">
        <w:rPr>
          <w:rFonts w:ascii="Calibri" w:hAnsi="Calibri" w:cs="Calibri"/>
          <w:i/>
          <w:iCs/>
          <w:sz w:val="24"/>
          <w:szCs w:val="24"/>
        </w:rPr>
        <w:t>Les Sept contre Thèbes</w:t>
      </w:r>
      <w:r w:rsidRPr="00527B46">
        <w:rPr>
          <w:rFonts w:ascii="Calibri" w:hAnsi="Calibri" w:cs="Calibri"/>
          <w:sz w:val="24"/>
          <w:szCs w:val="24"/>
        </w:rPr>
        <w:t>,</w:t>
      </w:r>
      <w:r>
        <w:rPr>
          <w:rFonts w:ascii="Calibri" w:hAnsi="Calibri" w:cs="Calibri"/>
          <w:sz w:val="24"/>
          <w:szCs w:val="24"/>
        </w:rPr>
        <w:t xml:space="preserve"> (</w:t>
      </w:r>
      <w:r w:rsidRPr="00E76380">
        <w:rPr>
          <w:rFonts w:ascii="Calibri" w:hAnsi="Calibri" w:cs="Calibri"/>
          <w:b/>
          <w:bCs/>
          <w:sz w:val="24"/>
          <w:szCs w:val="24"/>
        </w:rPr>
        <w:t>NE PAS PRENDRE L’EDITION GF,</w:t>
      </w:r>
      <w:r>
        <w:rPr>
          <w:rFonts w:ascii="Calibri" w:hAnsi="Calibri" w:cs="Calibri"/>
          <w:sz w:val="24"/>
          <w:szCs w:val="24"/>
        </w:rPr>
        <w:t xml:space="preserve"> elle n’est pas dans la bonne traduction)</w:t>
      </w:r>
    </w:p>
    <w:p w14:paraId="397006F0" w14:textId="0DBDE59F" w:rsidR="00E76380" w:rsidRDefault="00E76380" w:rsidP="00E76380">
      <w:pPr>
        <w:spacing w:after="0"/>
        <w:jc w:val="both"/>
        <w:rPr>
          <w:rFonts w:ascii="Calibri" w:hAnsi="Calibri" w:cs="Calibri"/>
          <w:sz w:val="24"/>
          <w:szCs w:val="24"/>
        </w:rPr>
      </w:pPr>
      <w:r w:rsidRPr="00527B46">
        <w:rPr>
          <w:rFonts w:ascii="Calibri" w:hAnsi="Calibri" w:cs="Calibri"/>
          <w:sz w:val="24"/>
          <w:szCs w:val="24"/>
        </w:rPr>
        <w:t xml:space="preserve">- </w:t>
      </w:r>
      <w:proofErr w:type="spellStart"/>
      <w:r w:rsidRPr="00527B46">
        <w:rPr>
          <w:rFonts w:ascii="Calibri" w:hAnsi="Calibri" w:cs="Calibri"/>
          <w:sz w:val="24"/>
          <w:szCs w:val="24"/>
        </w:rPr>
        <w:t>Edith</w:t>
      </w:r>
      <w:proofErr w:type="spellEnd"/>
      <w:r w:rsidRPr="00527B46">
        <w:rPr>
          <w:rFonts w:ascii="Calibri" w:hAnsi="Calibri" w:cs="Calibri"/>
          <w:sz w:val="24"/>
          <w:szCs w:val="24"/>
        </w:rPr>
        <w:t xml:space="preserve"> Wharton, </w:t>
      </w:r>
      <w:r w:rsidRPr="00E805BD">
        <w:rPr>
          <w:rFonts w:ascii="Calibri" w:hAnsi="Calibri" w:cs="Calibri"/>
          <w:i/>
          <w:iCs/>
          <w:sz w:val="24"/>
          <w:szCs w:val="24"/>
        </w:rPr>
        <w:t>Le Temps de l’innocence</w:t>
      </w:r>
      <w:r w:rsidRPr="00527B46">
        <w:rPr>
          <w:rFonts w:ascii="Calibri" w:hAnsi="Calibri" w:cs="Calibri"/>
          <w:sz w:val="24"/>
          <w:szCs w:val="24"/>
        </w:rPr>
        <w:t>, G.F., traduction de Madeleine Taillandier</w:t>
      </w:r>
      <w:r>
        <w:rPr>
          <w:rFonts w:ascii="Calibri" w:hAnsi="Calibri" w:cs="Calibri"/>
          <w:sz w:val="24"/>
          <w:szCs w:val="24"/>
        </w:rPr>
        <w:t xml:space="preserve">, </w:t>
      </w:r>
      <w:r w:rsidRPr="00E76380">
        <w:rPr>
          <w:rFonts w:ascii="Calibri" w:hAnsi="Calibri" w:cs="Calibri"/>
          <w:b/>
          <w:bCs/>
          <w:sz w:val="24"/>
          <w:szCs w:val="24"/>
        </w:rPr>
        <w:t>édition prépas scientifiques</w:t>
      </w:r>
    </w:p>
    <w:p w14:paraId="7AF976AD" w14:textId="265E49DC" w:rsidR="00E76380" w:rsidRDefault="00E76380"/>
    <w:p w14:paraId="7693F89E" w14:textId="77777777" w:rsidR="00E76380" w:rsidRPr="00A75C41" w:rsidRDefault="00E76380" w:rsidP="00E76380">
      <w:pPr>
        <w:ind w:firstLine="360"/>
        <w:jc w:val="both"/>
      </w:pPr>
      <w:r w:rsidRPr="00A75C41">
        <w:t xml:space="preserve">Soyons clairs : même si je vous souhaite ardemment de prendre plaisir à ces lectures, ce n’en est pas néanmoins le but premier. Je vous demande une </w:t>
      </w:r>
      <w:r w:rsidRPr="00A75C41">
        <w:rPr>
          <w:b/>
          <w:bCs/>
          <w:u w:val="single"/>
        </w:rPr>
        <w:t>lecture-travail</w:t>
      </w:r>
      <w:r w:rsidRPr="00A75C41">
        <w:t> : non quelques pages avant de vous endormir, mais des passages conséquents lors de réelles séances de travail. Non avec passivité, mais le stylo à la main, ou devant votre écran d’ordinateur. C’est cette étape qui est primordiale pour la réussite du concours : malgré les récits de ceux qui vous assurent avoir réussi leur épreuve sans lire les livres, vous conviendrez qu’il est plus facile de gagner des points en sachant de quoi on parle…</w:t>
      </w:r>
    </w:p>
    <w:p w14:paraId="25B5C3A8" w14:textId="77777777" w:rsidR="00E76380" w:rsidRPr="00A75C41" w:rsidRDefault="00E76380" w:rsidP="00E76380">
      <w:pPr>
        <w:ind w:firstLine="360"/>
        <w:jc w:val="both"/>
      </w:pPr>
      <w:r w:rsidRPr="00A75C41">
        <w:t xml:space="preserve">La question n’est donc pas que ces lectures vous </w:t>
      </w:r>
      <w:r w:rsidRPr="00A75C41">
        <w:rPr>
          <w:i/>
          <w:iCs/>
        </w:rPr>
        <w:t xml:space="preserve">plaisent </w:t>
      </w:r>
      <w:r w:rsidRPr="00A75C41">
        <w:t xml:space="preserve">ou vous </w:t>
      </w:r>
      <w:r w:rsidRPr="00A75C41">
        <w:rPr>
          <w:i/>
          <w:iCs/>
        </w:rPr>
        <w:t>inspirent</w:t>
      </w:r>
      <w:r w:rsidRPr="00A75C41">
        <w:t xml:space="preserve">, mais que vous vous soyez suffisamment approprié les œuvres pour qu’elles soient devenues votre outil de travail. </w:t>
      </w:r>
      <w:r w:rsidRPr="00A75C41">
        <w:rPr>
          <w:u w:val="single"/>
        </w:rPr>
        <w:t>Vous aurez dès septembre à faire des sujets de colles ou de dissertation et vous aurez donc besoin de les maîtriser.</w:t>
      </w:r>
      <w:r w:rsidRPr="00A75C41">
        <w:t xml:space="preserve"> A cet effet, vous ferez naître de votre lecture des documents de référence qui vous suivront au cours de l’année</w:t>
      </w:r>
      <w:r>
        <w:t xml:space="preserve"> et qui sont détaillés ci-dessous</w:t>
      </w:r>
      <w:r w:rsidRPr="00A75C41">
        <w:t xml:space="preserve">. N’ayez pas peur, en outre, de prendre des notes directement sur les livres. Relevez les </w:t>
      </w:r>
      <w:r w:rsidRPr="00A75C41">
        <w:rPr>
          <w:b/>
          <w:bCs/>
          <w:u w:val="single"/>
        </w:rPr>
        <w:t>idées liées au thème</w:t>
      </w:r>
      <w:r w:rsidRPr="00A75C41">
        <w:t xml:space="preserve"> ainsi que des </w:t>
      </w:r>
      <w:r w:rsidRPr="00A75C41">
        <w:rPr>
          <w:b/>
          <w:bCs/>
          <w:u w:val="single"/>
        </w:rPr>
        <w:t>citations</w:t>
      </w:r>
      <w:r>
        <w:rPr>
          <w:b/>
          <w:bCs/>
          <w:u w:val="single"/>
        </w:rPr>
        <w:t>, indispensables pour nourrir vos devoirs</w:t>
      </w:r>
      <w:r w:rsidRPr="00A75C41">
        <w:t>.</w:t>
      </w:r>
    </w:p>
    <w:p w14:paraId="0A443AE4" w14:textId="2A55DDA7" w:rsidR="00E76380" w:rsidRDefault="00E76380">
      <w:r>
        <w:t xml:space="preserve">Pour vous aider à travailler le thème et les œuvres : </w:t>
      </w:r>
    </w:p>
    <w:p w14:paraId="2DE46F6A" w14:textId="24637CEC" w:rsidR="00E76380" w:rsidRDefault="00E76380" w:rsidP="00E76380">
      <w:pPr>
        <w:pStyle w:val="Paragraphedeliste"/>
        <w:numPr>
          <w:ilvl w:val="0"/>
          <w:numId w:val="1"/>
        </w:numPr>
      </w:pPr>
      <w:r>
        <w:t xml:space="preserve">SUR LE THÈME : Des podcasts : </w:t>
      </w:r>
    </w:p>
    <w:p w14:paraId="02B010FC" w14:textId="25BEDAFB" w:rsidR="00E76380" w:rsidRDefault="00E76380" w:rsidP="00E76380">
      <w:pPr>
        <w:pStyle w:val="Paragraphedeliste"/>
        <w:numPr>
          <w:ilvl w:val="1"/>
          <w:numId w:val="1"/>
        </w:numPr>
        <w:jc w:val="both"/>
      </w:pPr>
      <w:r>
        <w:t>France culture, émission « Avec philosophie » (gratuit) : comment la société pèse-t-elle sur les individus ? en cinq épisodes (lundi 20 novembre 2023 : interaction et jeu social / mardi 21 novembre 2023 : La contrainte sociale d’</w:t>
      </w:r>
      <w:proofErr w:type="spellStart"/>
      <w:r>
        <w:t>Emile</w:t>
      </w:r>
      <w:proofErr w:type="spellEnd"/>
      <w:r>
        <w:t xml:space="preserve"> Durkheim / Jeudi 23 novembre : faut-il ressusciter la notion de structure sociale ? / Vendredi 24 novembre 2023 : Sommes-nous dans une société de plu en </w:t>
      </w:r>
      <w:proofErr w:type="spellStart"/>
      <w:r>
        <w:t>plu</w:t>
      </w:r>
      <w:proofErr w:type="spellEnd"/>
      <w:r>
        <w:t xml:space="preserve"> individualiste </w:t>
      </w:r>
      <w:proofErr w:type="gramStart"/>
      <w:r>
        <w:t>? )</w:t>
      </w:r>
      <w:proofErr w:type="gramEnd"/>
    </w:p>
    <w:p w14:paraId="25E3A8BA" w14:textId="1294D33B" w:rsidR="00E76380" w:rsidRDefault="00E76380" w:rsidP="00E76380">
      <w:pPr>
        <w:pStyle w:val="Paragraphedeliste"/>
        <w:numPr>
          <w:ilvl w:val="1"/>
          <w:numId w:val="1"/>
        </w:numPr>
        <w:jc w:val="both"/>
      </w:pPr>
      <w:r>
        <w:t>France culture, émission « Avec philosophie »</w:t>
      </w:r>
      <w:r>
        <w:t> : comment se tissent les liens entre nous : ¼ Que nous raconte l’isolement social ? (13 mai 2024)</w:t>
      </w:r>
    </w:p>
    <w:p w14:paraId="7278325B" w14:textId="77777777" w:rsidR="007B5C45" w:rsidRDefault="007B5C45" w:rsidP="007B5C45">
      <w:pPr>
        <w:pStyle w:val="Paragraphedeliste"/>
        <w:ind w:left="1440"/>
        <w:jc w:val="both"/>
      </w:pPr>
    </w:p>
    <w:p w14:paraId="5E701612" w14:textId="046ADFC2" w:rsidR="00E76380" w:rsidRDefault="00E76380" w:rsidP="00E76380">
      <w:pPr>
        <w:pStyle w:val="Paragraphedeliste"/>
        <w:numPr>
          <w:ilvl w:val="0"/>
          <w:numId w:val="1"/>
        </w:numPr>
        <w:jc w:val="both"/>
      </w:pPr>
      <w:r>
        <w:t xml:space="preserve">SUR ESCHYLE : </w:t>
      </w:r>
    </w:p>
    <w:p w14:paraId="1316BDDE" w14:textId="6AA94E96" w:rsidR="00E76380" w:rsidRDefault="00E76380" w:rsidP="00E76380">
      <w:pPr>
        <w:pStyle w:val="Paragraphedeliste"/>
        <w:numPr>
          <w:ilvl w:val="1"/>
          <w:numId w:val="1"/>
        </w:numPr>
        <w:jc w:val="both"/>
      </w:pPr>
      <w:r>
        <w:t>PODCAST France Cul</w:t>
      </w:r>
      <w:r w:rsidR="00DC7501">
        <w:t>t</w:t>
      </w:r>
      <w:r>
        <w:t>ure : mercredi 11 mai 20122 : réactualiser Eschyle</w:t>
      </w:r>
    </w:p>
    <w:p w14:paraId="631F06A5" w14:textId="6FC2A183" w:rsidR="00E76380" w:rsidRDefault="00E76380" w:rsidP="00E76380">
      <w:pPr>
        <w:pStyle w:val="Paragraphedeliste"/>
        <w:numPr>
          <w:ilvl w:val="1"/>
          <w:numId w:val="1"/>
        </w:numPr>
        <w:jc w:val="both"/>
      </w:pPr>
      <w:r>
        <w:lastRenderedPageBreak/>
        <w:t xml:space="preserve">Film qui vous montre d’une certaine manière à quoi ressemblait un drame grec : </w:t>
      </w:r>
      <w:r>
        <w:rPr>
          <w:i/>
          <w:iCs/>
        </w:rPr>
        <w:t xml:space="preserve">Maudite Aphrodite </w:t>
      </w:r>
      <w:r>
        <w:t>de Woody Allen (1995)</w:t>
      </w:r>
    </w:p>
    <w:p w14:paraId="18BB1CFF" w14:textId="77683C0B" w:rsidR="00E76380" w:rsidRPr="00E76380" w:rsidRDefault="00E76380" w:rsidP="00E76380">
      <w:pPr>
        <w:pStyle w:val="Paragraphedeliste"/>
        <w:numPr>
          <w:ilvl w:val="1"/>
          <w:numId w:val="1"/>
        </w:numPr>
        <w:jc w:val="both"/>
      </w:pPr>
      <w:r>
        <w:t xml:space="preserve">Une captation des </w:t>
      </w:r>
      <w:r>
        <w:rPr>
          <w:i/>
          <w:iCs/>
        </w:rPr>
        <w:t xml:space="preserve">Suppliantes : </w:t>
      </w:r>
      <w:hyperlink r:id="rId5" w:history="1">
        <w:r w:rsidRPr="00484A56">
          <w:rPr>
            <w:rStyle w:val="Lienhypertexte"/>
            <w:i/>
            <w:iCs/>
          </w:rPr>
          <w:t>https://www.theatre-contemporain.net/video/Les-Suppliantes-d-Eschyle</w:t>
        </w:r>
      </w:hyperlink>
    </w:p>
    <w:p w14:paraId="2C4C7C0E" w14:textId="0830C88B" w:rsidR="00E76380" w:rsidRDefault="00E76380" w:rsidP="00E76380">
      <w:pPr>
        <w:pStyle w:val="Paragraphedeliste"/>
        <w:numPr>
          <w:ilvl w:val="1"/>
          <w:numId w:val="1"/>
        </w:numPr>
        <w:jc w:val="both"/>
      </w:pPr>
      <w:r>
        <w:t xml:space="preserve">Extrait d’un entretien avec Olivier </w:t>
      </w:r>
      <w:proofErr w:type="spellStart"/>
      <w:r>
        <w:t>Py</w:t>
      </w:r>
      <w:proofErr w:type="spellEnd"/>
      <w:r>
        <w:t xml:space="preserve"> (metteur en scène renommé) sur sa mise en scène des Sept contre Thèbes : </w:t>
      </w:r>
      <w:hyperlink r:id="rId6" w:history="1">
        <w:r w:rsidRPr="00484A56">
          <w:rPr>
            <w:rStyle w:val="Lienhypertexte"/>
          </w:rPr>
          <w:t>https://www.ina.fr/ina-eclaire-actu/video/i13186801/les-sept-contre-thebes-le-tragique-le-choeur-eschyle</w:t>
        </w:r>
      </w:hyperlink>
    </w:p>
    <w:p w14:paraId="528A3D29" w14:textId="77777777" w:rsidR="007B5C45" w:rsidRDefault="007B5C45" w:rsidP="007B5C45">
      <w:pPr>
        <w:pStyle w:val="Paragraphedeliste"/>
        <w:ind w:left="1440"/>
        <w:jc w:val="both"/>
      </w:pPr>
    </w:p>
    <w:p w14:paraId="0462D837" w14:textId="59A42989" w:rsidR="00E76380" w:rsidRDefault="00E76380" w:rsidP="00E76380">
      <w:pPr>
        <w:pStyle w:val="Paragraphedeliste"/>
        <w:numPr>
          <w:ilvl w:val="0"/>
          <w:numId w:val="1"/>
        </w:numPr>
        <w:jc w:val="both"/>
      </w:pPr>
      <w:r>
        <w:t xml:space="preserve">SUR SPINOZA : </w:t>
      </w:r>
    </w:p>
    <w:p w14:paraId="3D75FFFC" w14:textId="77777777" w:rsidR="00E76380" w:rsidRDefault="00E76380" w:rsidP="00E76380">
      <w:pPr>
        <w:pStyle w:val="Paragraphedeliste"/>
        <w:numPr>
          <w:ilvl w:val="1"/>
          <w:numId w:val="1"/>
        </w:numPr>
        <w:jc w:val="both"/>
      </w:pPr>
      <w:r>
        <w:t xml:space="preserve">Pour connaître ou vous rappeler l’institution de la théocratie : </w:t>
      </w:r>
      <w:r>
        <w:rPr>
          <w:i/>
          <w:iCs/>
        </w:rPr>
        <w:t>les Dix commandements</w:t>
      </w:r>
      <w:r>
        <w:t xml:space="preserve"> (1956) de Cecil B. DeMille</w:t>
      </w:r>
    </w:p>
    <w:p w14:paraId="09DA49C2" w14:textId="3CA508BB" w:rsidR="00E76380" w:rsidRDefault="00E76380" w:rsidP="00E76380">
      <w:pPr>
        <w:pStyle w:val="Paragraphedeliste"/>
        <w:numPr>
          <w:ilvl w:val="1"/>
          <w:numId w:val="1"/>
        </w:numPr>
        <w:jc w:val="both"/>
      </w:pPr>
      <w:r>
        <w:t xml:space="preserve">Podcast : France Culture « Carnet de philo » : Spinoza est-il </w:t>
      </w:r>
      <w:proofErr w:type="gramStart"/>
      <w:r>
        <w:t>sociologue ?,</w:t>
      </w:r>
      <w:proofErr w:type="gramEnd"/>
      <w:r>
        <w:t xml:space="preserve"> 20 février 2018</w:t>
      </w:r>
    </w:p>
    <w:p w14:paraId="653B59DC" w14:textId="7C38B8B7" w:rsidR="00E76380" w:rsidRDefault="00E76380" w:rsidP="00E76380">
      <w:pPr>
        <w:pStyle w:val="Paragraphedeliste"/>
        <w:numPr>
          <w:ilvl w:val="1"/>
          <w:numId w:val="1"/>
        </w:numPr>
        <w:jc w:val="both"/>
      </w:pPr>
      <w:r>
        <w:t xml:space="preserve">Podcast : </w:t>
      </w:r>
      <w:r>
        <w:t>France Culture</w:t>
      </w:r>
      <w:r>
        <w:t xml:space="preserve">, « Les nouveaux chemins de la connaissance » : le TTP de Spinoza : Le TTP de Spinoza : ¼ : Qui doit légiférer sur le sacré ? </w:t>
      </w:r>
      <w:proofErr w:type="gramStart"/>
      <w:r>
        <w:t>¾</w:t>
      </w:r>
      <w:proofErr w:type="gramEnd"/>
      <w:r>
        <w:t xml:space="preserve"> : Quelles conditions pour la liberté d’expression ? 4/4 : Qu’est-ce que la théocratie ? </w:t>
      </w:r>
    </w:p>
    <w:p w14:paraId="3DDE3721" w14:textId="1C591E5F" w:rsidR="00E76380" w:rsidRPr="007B5C45" w:rsidRDefault="00E76380" w:rsidP="00E76380">
      <w:pPr>
        <w:pStyle w:val="Paragraphedeliste"/>
        <w:numPr>
          <w:ilvl w:val="1"/>
          <w:numId w:val="1"/>
        </w:numPr>
        <w:jc w:val="both"/>
      </w:pPr>
      <w:r>
        <w:t xml:space="preserve">Autour de Spinoza : Frédéric Lenoir, </w:t>
      </w:r>
      <w:r>
        <w:rPr>
          <w:i/>
          <w:iCs/>
        </w:rPr>
        <w:t>Le miracle Spinoza</w:t>
      </w:r>
    </w:p>
    <w:p w14:paraId="21EED923" w14:textId="2DBDB3AD" w:rsidR="007B5C45" w:rsidRDefault="007B5C45" w:rsidP="007B5C45">
      <w:pPr>
        <w:pStyle w:val="Paragraphedeliste"/>
        <w:numPr>
          <w:ilvl w:val="0"/>
          <w:numId w:val="1"/>
        </w:numPr>
        <w:jc w:val="both"/>
      </w:pPr>
      <w:r>
        <w:t xml:space="preserve">Sur </w:t>
      </w:r>
      <w:proofErr w:type="spellStart"/>
      <w:r>
        <w:t>Edith</w:t>
      </w:r>
      <w:proofErr w:type="spellEnd"/>
      <w:r>
        <w:t xml:space="preserve"> Wharton : </w:t>
      </w:r>
    </w:p>
    <w:p w14:paraId="61A2B196" w14:textId="4C8640A1" w:rsidR="007B5C45" w:rsidRPr="007B5C45" w:rsidRDefault="007B5C45" w:rsidP="007B5C45">
      <w:pPr>
        <w:pStyle w:val="Paragraphedeliste"/>
        <w:numPr>
          <w:ilvl w:val="1"/>
          <w:numId w:val="1"/>
        </w:numPr>
        <w:jc w:val="both"/>
        <w:rPr>
          <w:lang w:val="en-US"/>
        </w:rPr>
      </w:pPr>
      <w:proofErr w:type="spellStart"/>
      <w:r w:rsidRPr="007B5C45">
        <w:rPr>
          <w:lang w:val="en-US"/>
        </w:rPr>
        <w:t>Voir</w:t>
      </w:r>
      <w:proofErr w:type="spellEnd"/>
      <w:r w:rsidRPr="007B5C45">
        <w:rPr>
          <w:lang w:val="en-US"/>
        </w:rPr>
        <w:t xml:space="preserve"> le film de 1993 The age of </w:t>
      </w:r>
      <w:r>
        <w:rPr>
          <w:lang w:val="en-US"/>
        </w:rPr>
        <w:t>innocence, sur Netflix</w:t>
      </w:r>
    </w:p>
    <w:p w14:paraId="5BA22D97" w14:textId="6C0D04F9" w:rsidR="00DA2E98" w:rsidRPr="007B5C45" w:rsidRDefault="007B5C45" w:rsidP="007B5C45">
      <w:pPr>
        <w:jc w:val="center"/>
        <w:rPr>
          <w:lang w:val="en-US"/>
        </w:rPr>
      </w:pPr>
      <w:r>
        <w:rPr>
          <w:noProof/>
          <w:lang w:val="en-US"/>
          <w14:ligatures w14:val="none"/>
        </w:rPr>
        <w:drawing>
          <wp:inline distT="0" distB="0" distL="0" distR="0" wp14:anchorId="4A84AA0F" wp14:editId="33AA07F3">
            <wp:extent cx="2548467" cy="3569315"/>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2981" cy="3589643"/>
                    </a:xfrm>
                    <a:prstGeom prst="rect">
                      <a:avLst/>
                    </a:prstGeom>
                  </pic:spPr>
                </pic:pic>
              </a:graphicData>
            </a:graphic>
          </wp:inline>
        </w:drawing>
      </w:r>
    </w:p>
    <w:p w14:paraId="3748B29A" w14:textId="694D2CD5" w:rsidR="00DA2E98" w:rsidRDefault="00DA2E98" w:rsidP="00DA2E98">
      <w:pPr>
        <w:jc w:val="both"/>
      </w:pPr>
      <w:r>
        <w:t>Bon courage !</w:t>
      </w:r>
    </w:p>
    <w:sectPr w:rsidR="00DA2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915BB"/>
    <w:multiLevelType w:val="hybridMultilevel"/>
    <w:tmpl w:val="888E546C"/>
    <w:lvl w:ilvl="0" w:tplc="A7760E28">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80"/>
    <w:rsid w:val="007B5C45"/>
    <w:rsid w:val="00AB196D"/>
    <w:rsid w:val="00DA2E98"/>
    <w:rsid w:val="00DC7501"/>
    <w:rsid w:val="00E763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4A714AD"/>
  <w15:chartTrackingRefBased/>
  <w15:docId w15:val="{53FEE578-DDF6-4341-96EA-A6F72E52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380"/>
    <w:pPr>
      <w:spacing w:after="160" w:line="259" w:lineRule="auto"/>
    </w:pPr>
    <w:rPr>
      <w:kern w:val="2"/>
      <w:sz w:val="22"/>
      <w:szCs w:val="2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6380"/>
    <w:pPr>
      <w:ind w:left="720"/>
      <w:contextualSpacing/>
    </w:pPr>
  </w:style>
  <w:style w:type="character" w:styleId="Lienhypertexte">
    <w:name w:val="Hyperlink"/>
    <w:basedOn w:val="Policepardfaut"/>
    <w:uiPriority w:val="99"/>
    <w:unhideWhenUsed/>
    <w:rsid w:val="00E76380"/>
    <w:rPr>
      <w:color w:val="0563C1" w:themeColor="hyperlink"/>
      <w:u w:val="single"/>
    </w:rPr>
  </w:style>
  <w:style w:type="character" w:styleId="Mentionnonrsolue">
    <w:name w:val="Unresolved Mention"/>
    <w:basedOn w:val="Policepardfaut"/>
    <w:uiPriority w:val="99"/>
    <w:semiHidden/>
    <w:unhideWhenUsed/>
    <w:rsid w:val="00E76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a.fr/ina-eclaire-actu/video/i13186801/les-sept-contre-thebes-le-tragique-le-choeur-eschyle" TargetMode="External"/><Relationship Id="rId5" Type="http://schemas.openxmlformats.org/officeDocument/2006/relationships/hyperlink" Target="https://www.theatre-contemporain.net/video/Les-Suppliantes-d-Eschy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623</Words>
  <Characters>3432</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Marie-Cécile Flory</dc:creator>
  <cp:keywords/>
  <dc:description/>
  <cp:lastModifiedBy>Marie-Cécile Flory</cp:lastModifiedBy>
  <cp:revision>5</cp:revision>
  <dcterms:created xsi:type="dcterms:W3CDTF">2024-05-27T06:34:00Z</dcterms:created>
  <dcterms:modified xsi:type="dcterms:W3CDTF">2024-05-27T07:49:00Z</dcterms:modified>
</cp:coreProperties>
</file>