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2E5757" w14:textId="30A573AC" w:rsidR="00D1496F" w:rsidRDefault="00AA4C25">
      <w:pPr>
        <w:rPr>
          <w:b/>
          <w:bCs/>
        </w:rPr>
      </w:pPr>
      <w:r w:rsidRPr="00AA4C25">
        <w:rPr>
          <w:b/>
          <w:bCs/>
        </w:rPr>
        <w:t>Entrainement concours étoilés ( Centrale-Mines-X) sur la spectroscopie atomique et la spectrophotométrie UV-Visible</w:t>
      </w:r>
      <w:r w:rsidR="00BD45E0">
        <w:rPr>
          <w:b/>
          <w:bCs/>
        </w:rPr>
        <w:t xml:space="preserve"> - 3 exercices et corrigés</w:t>
      </w:r>
    </w:p>
    <w:p w14:paraId="15123A6F" w14:textId="7BA9D554" w:rsidR="000704FB" w:rsidRDefault="00AA4C25" w:rsidP="000704FB">
      <w:pPr>
        <w:pBdr>
          <w:top w:val="single" w:sz="4" w:space="1" w:color="auto"/>
          <w:left w:val="single" w:sz="4" w:space="4" w:color="auto"/>
          <w:bottom w:val="single" w:sz="4" w:space="1" w:color="auto"/>
          <w:right w:val="single" w:sz="4" w:space="4" w:color="auto"/>
        </w:pBdr>
        <w:rPr>
          <w:b/>
          <w:bCs/>
        </w:rPr>
      </w:pPr>
      <w:r>
        <w:rPr>
          <w:b/>
          <w:bCs/>
        </w:rPr>
        <w:t xml:space="preserve">Concours Centrale Supelec </w:t>
      </w:r>
      <w:r w:rsidR="000704FB">
        <w:rPr>
          <w:b/>
          <w:bCs/>
        </w:rPr>
        <w:t>Physique-</w:t>
      </w:r>
      <w:r>
        <w:rPr>
          <w:b/>
          <w:bCs/>
        </w:rPr>
        <w:t>Chimie</w:t>
      </w:r>
      <w:r w:rsidR="000704FB">
        <w:rPr>
          <w:b/>
          <w:bCs/>
        </w:rPr>
        <w:t xml:space="preserve"> 1</w:t>
      </w:r>
      <w:r>
        <w:rPr>
          <w:b/>
          <w:bCs/>
        </w:rPr>
        <w:t xml:space="preserve"> P</w:t>
      </w:r>
      <w:r w:rsidR="000704FB">
        <w:rPr>
          <w:b/>
          <w:bCs/>
        </w:rPr>
        <w:t>SI</w:t>
      </w:r>
      <w:r>
        <w:rPr>
          <w:b/>
          <w:bCs/>
        </w:rPr>
        <w:t xml:space="preserve"> 2021</w:t>
      </w:r>
      <w:r w:rsidR="00E85B58">
        <w:rPr>
          <w:b/>
          <w:bCs/>
        </w:rPr>
        <w:t>- LE FEU ET L’EAU</w:t>
      </w:r>
    </w:p>
    <w:p w14:paraId="5134FFF8" w14:textId="6855D3DD" w:rsidR="000704FB" w:rsidRDefault="000704FB">
      <w:pPr>
        <w:rPr>
          <w:b/>
          <w:bCs/>
        </w:rPr>
      </w:pPr>
      <w:r>
        <w:rPr>
          <w:noProof/>
        </w:rPr>
        <w:drawing>
          <wp:inline distT="0" distB="0" distL="0" distR="0" wp14:anchorId="3FADA8B7" wp14:editId="7AB3AD87">
            <wp:extent cx="5905500" cy="1254870"/>
            <wp:effectExtent l="0" t="0" r="0" b="254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57318" cy="1265881"/>
                    </a:xfrm>
                    <a:prstGeom prst="rect">
                      <a:avLst/>
                    </a:prstGeom>
                  </pic:spPr>
                </pic:pic>
              </a:graphicData>
            </a:graphic>
          </wp:inline>
        </w:drawing>
      </w:r>
    </w:p>
    <w:p w14:paraId="4C25565C" w14:textId="3B9D6BD0" w:rsidR="000704FB" w:rsidRDefault="000704FB">
      <w:pPr>
        <w:rPr>
          <w:b/>
          <w:bCs/>
        </w:rPr>
      </w:pPr>
      <w:r>
        <w:rPr>
          <w:noProof/>
        </w:rPr>
        <w:drawing>
          <wp:inline distT="0" distB="0" distL="0" distR="0" wp14:anchorId="213DDBA3" wp14:editId="0B9EC99E">
            <wp:extent cx="6750685" cy="178007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50685" cy="1780074"/>
                    </a:xfrm>
                    <a:prstGeom prst="rect">
                      <a:avLst/>
                    </a:prstGeom>
                  </pic:spPr>
                </pic:pic>
              </a:graphicData>
            </a:graphic>
          </wp:inline>
        </w:drawing>
      </w:r>
    </w:p>
    <w:p w14:paraId="6DE95557" w14:textId="33FF43ED" w:rsidR="000704FB" w:rsidRDefault="000704FB">
      <w:pPr>
        <w:rPr>
          <w:b/>
          <w:bCs/>
        </w:rPr>
      </w:pPr>
      <w:r>
        <w:rPr>
          <w:noProof/>
        </w:rPr>
        <w:drawing>
          <wp:inline distT="0" distB="0" distL="0" distR="0" wp14:anchorId="62DDBAA1" wp14:editId="6F4DA307">
            <wp:extent cx="6638925" cy="3891733"/>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59371" cy="3903718"/>
                    </a:xfrm>
                    <a:prstGeom prst="rect">
                      <a:avLst/>
                    </a:prstGeom>
                  </pic:spPr>
                </pic:pic>
              </a:graphicData>
            </a:graphic>
          </wp:inline>
        </w:drawing>
      </w:r>
    </w:p>
    <w:p w14:paraId="450366FE" w14:textId="397E335F" w:rsidR="000704FB" w:rsidRDefault="000704FB">
      <w:pPr>
        <w:rPr>
          <w:b/>
          <w:bCs/>
        </w:rPr>
      </w:pPr>
      <w:r>
        <w:rPr>
          <w:noProof/>
        </w:rPr>
        <w:drawing>
          <wp:inline distT="0" distB="0" distL="0" distR="0" wp14:anchorId="000426F2" wp14:editId="5F3B7694">
            <wp:extent cx="6907282" cy="1885950"/>
            <wp:effectExtent l="0" t="0" r="825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19749" cy="1889354"/>
                    </a:xfrm>
                    <a:prstGeom prst="rect">
                      <a:avLst/>
                    </a:prstGeom>
                  </pic:spPr>
                </pic:pic>
              </a:graphicData>
            </a:graphic>
          </wp:inline>
        </w:drawing>
      </w:r>
    </w:p>
    <w:p w14:paraId="3BA3FCEF" w14:textId="0FB8D254" w:rsidR="00BD45E0" w:rsidRDefault="000704FB">
      <w:pPr>
        <w:rPr>
          <w:b/>
          <w:bCs/>
        </w:rPr>
      </w:pPr>
      <w:r>
        <w:rPr>
          <w:noProof/>
        </w:rPr>
        <w:lastRenderedPageBreak/>
        <w:drawing>
          <wp:inline distT="0" distB="0" distL="0" distR="0" wp14:anchorId="463EDD5C" wp14:editId="6729333A">
            <wp:extent cx="6753225" cy="4053275"/>
            <wp:effectExtent l="0" t="0" r="0" b="444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64037" cy="4059764"/>
                    </a:xfrm>
                    <a:prstGeom prst="rect">
                      <a:avLst/>
                    </a:prstGeom>
                  </pic:spPr>
                </pic:pic>
              </a:graphicData>
            </a:graphic>
          </wp:inline>
        </w:drawing>
      </w:r>
    </w:p>
    <w:p w14:paraId="76D2F4FB" w14:textId="2A9F80AC" w:rsidR="008C79AA" w:rsidRDefault="000704FB">
      <w:pPr>
        <w:rPr>
          <w:b/>
          <w:bCs/>
        </w:rPr>
      </w:pPr>
      <w:r>
        <w:rPr>
          <w:noProof/>
        </w:rPr>
        <w:drawing>
          <wp:inline distT="0" distB="0" distL="0" distR="0" wp14:anchorId="2057E374" wp14:editId="0B14679A">
            <wp:extent cx="6594970" cy="3200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599461" cy="3202580"/>
                    </a:xfrm>
                    <a:prstGeom prst="rect">
                      <a:avLst/>
                    </a:prstGeom>
                  </pic:spPr>
                </pic:pic>
              </a:graphicData>
            </a:graphic>
          </wp:inline>
        </w:drawing>
      </w:r>
    </w:p>
    <w:p w14:paraId="441820FF" w14:textId="3D69FB3D" w:rsidR="00E85B58" w:rsidRDefault="00E85B58">
      <w:pPr>
        <w:rPr>
          <w:b/>
          <w:bCs/>
        </w:rPr>
      </w:pPr>
      <w:r>
        <w:rPr>
          <w:b/>
          <w:bCs/>
        </w:rPr>
        <w:br w:type="page"/>
      </w:r>
    </w:p>
    <w:p w14:paraId="332E3AC2" w14:textId="2CC6D85A" w:rsidR="00AA4C25" w:rsidRDefault="00AA4C25" w:rsidP="000704FB">
      <w:pPr>
        <w:pBdr>
          <w:top w:val="single" w:sz="4" w:space="1" w:color="auto"/>
          <w:left w:val="single" w:sz="4" w:space="4" w:color="auto"/>
          <w:bottom w:val="single" w:sz="4" w:space="1" w:color="auto"/>
          <w:right w:val="single" w:sz="4" w:space="4" w:color="auto"/>
        </w:pBdr>
        <w:rPr>
          <w:b/>
          <w:bCs/>
        </w:rPr>
      </w:pPr>
      <w:r>
        <w:rPr>
          <w:b/>
          <w:bCs/>
        </w:rPr>
        <w:lastRenderedPageBreak/>
        <w:t>Concours Mines Chimie PC 2019</w:t>
      </w:r>
    </w:p>
    <w:p w14:paraId="10589844" w14:textId="7D9C87BF" w:rsidR="008C79AA" w:rsidRDefault="008C79AA">
      <w:pPr>
        <w:rPr>
          <w:b/>
          <w:bCs/>
        </w:rPr>
      </w:pPr>
      <w:r>
        <w:rPr>
          <w:noProof/>
        </w:rPr>
        <w:drawing>
          <wp:inline distT="0" distB="0" distL="0" distR="0" wp14:anchorId="4F58EB37" wp14:editId="1E1AB627">
            <wp:extent cx="5695950" cy="2157146"/>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19736" cy="2166154"/>
                    </a:xfrm>
                    <a:prstGeom prst="rect">
                      <a:avLst/>
                    </a:prstGeom>
                  </pic:spPr>
                </pic:pic>
              </a:graphicData>
            </a:graphic>
          </wp:inline>
        </w:drawing>
      </w:r>
      <w:r>
        <w:rPr>
          <w:noProof/>
        </w:rPr>
        <w:drawing>
          <wp:inline distT="0" distB="0" distL="0" distR="0" wp14:anchorId="56735C23" wp14:editId="75121318">
            <wp:extent cx="5353050" cy="1815019"/>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6899" cy="1829887"/>
                    </a:xfrm>
                    <a:prstGeom prst="rect">
                      <a:avLst/>
                    </a:prstGeom>
                  </pic:spPr>
                </pic:pic>
              </a:graphicData>
            </a:graphic>
          </wp:inline>
        </w:drawing>
      </w:r>
    </w:p>
    <w:p w14:paraId="4A9AE6DD" w14:textId="248EC457" w:rsidR="00AA4C25" w:rsidRDefault="008C79AA">
      <w:pPr>
        <w:rPr>
          <w:b/>
          <w:bCs/>
        </w:rPr>
      </w:pPr>
      <w:r>
        <w:rPr>
          <w:noProof/>
        </w:rPr>
        <w:drawing>
          <wp:inline distT="0" distB="0" distL="0" distR="0" wp14:anchorId="140F1041" wp14:editId="25EE22CE">
            <wp:extent cx="5251450" cy="2617956"/>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6249" cy="2640289"/>
                    </a:xfrm>
                    <a:prstGeom prst="rect">
                      <a:avLst/>
                    </a:prstGeom>
                  </pic:spPr>
                </pic:pic>
              </a:graphicData>
            </a:graphic>
          </wp:inline>
        </w:drawing>
      </w:r>
    </w:p>
    <w:p w14:paraId="590F53A1" w14:textId="342DE835" w:rsidR="00AA4C25" w:rsidRDefault="008C79AA">
      <w:pPr>
        <w:rPr>
          <w:b/>
          <w:bCs/>
        </w:rPr>
      </w:pPr>
      <w:r>
        <w:rPr>
          <w:noProof/>
        </w:rPr>
        <w:drawing>
          <wp:inline distT="0" distB="0" distL="0" distR="0" wp14:anchorId="6F8DB826" wp14:editId="1E518CE2">
            <wp:extent cx="5975350" cy="2773633"/>
            <wp:effectExtent l="0" t="0" r="6350" b="825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19405" cy="2794082"/>
                    </a:xfrm>
                    <a:prstGeom prst="rect">
                      <a:avLst/>
                    </a:prstGeom>
                  </pic:spPr>
                </pic:pic>
              </a:graphicData>
            </a:graphic>
          </wp:inline>
        </w:drawing>
      </w:r>
    </w:p>
    <w:p w14:paraId="603216EA" w14:textId="3103830C" w:rsidR="008C79AA" w:rsidRDefault="008C79AA">
      <w:pPr>
        <w:rPr>
          <w:b/>
          <w:bCs/>
        </w:rPr>
      </w:pPr>
      <w:r>
        <w:rPr>
          <w:noProof/>
        </w:rPr>
        <w:lastRenderedPageBreak/>
        <w:drawing>
          <wp:inline distT="0" distB="0" distL="0" distR="0" wp14:anchorId="26C7A2FF" wp14:editId="0615FF15">
            <wp:extent cx="6639197" cy="2171700"/>
            <wp:effectExtent l="0" t="0" r="952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50254" cy="2175317"/>
                    </a:xfrm>
                    <a:prstGeom prst="rect">
                      <a:avLst/>
                    </a:prstGeom>
                  </pic:spPr>
                </pic:pic>
              </a:graphicData>
            </a:graphic>
          </wp:inline>
        </w:drawing>
      </w:r>
    </w:p>
    <w:p w14:paraId="20D92F55" w14:textId="2D83D4FA" w:rsidR="00AA4C25" w:rsidRDefault="008C79AA">
      <w:pPr>
        <w:rPr>
          <w:b/>
          <w:bCs/>
        </w:rPr>
      </w:pPr>
      <w:r>
        <w:rPr>
          <w:noProof/>
        </w:rPr>
        <w:drawing>
          <wp:inline distT="0" distB="0" distL="0" distR="0" wp14:anchorId="358E5748" wp14:editId="1CD4E0BC">
            <wp:extent cx="6875817" cy="3448050"/>
            <wp:effectExtent l="0" t="0" r="127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84777" cy="3452543"/>
                    </a:xfrm>
                    <a:prstGeom prst="rect">
                      <a:avLst/>
                    </a:prstGeom>
                  </pic:spPr>
                </pic:pic>
              </a:graphicData>
            </a:graphic>
          </wp:inline>
        </w:drawing>
      </w:r>
    </w:p>
    <w:p w14:paraId="71FC7481" w14:textId="14FDBF21" w:rsidR="00AA4C25" w:rsidRDefault="008C79AA">
      <w:pPr>
        <w:rPr>
          <w:b/>
          <w:bCs/>
        </w:rPr>
      </w:pPr>
      <w:r>
        <w:rPr>
          <w:noProof/>
        </w:rPr>
        <w:drawing>
          <wp:inline distT="0" distB="0" distL="0" distR="0" wp14:anchorId="659A1427" wp14:editId="6303FABA">
            <wp:extent cx="6400800" cy="2905125"/>
            <wp:effectExtent l="0" t="0" r="0" b="952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00800" cy="2905125"/>
                    </a:xfrm>
                    <a:prstGeom prst="rect">
                      <a:avLst/>
                    </a:prstGeom>
                  </pic:spPr>
                </pic:pic>
              </a:graphicData>
            </a:graphic>
          </wp:inline>
        </w:drawing>
      </w:r>
    </w:p>
    <w:p w14:paraId="2CB94920" w14:textId="12470EF1" w:rsidR="00E85B58" w:rsidRDefault="00E85B58">
      <w:pPr>
        <w:rPr>
          <w:b/>
          <w:bCs/>
        </w:rPr>
      </w:pPr>
      <w:r>
        <w:rPr>
          <w:noProof/>
        </w:rPr>
        <w:drawing>
          <wp:inline distT="0" distB="0" distL="0" distR="0" wp14:anchorId="7FB88C3A" wp14:editId="65E899A2">
            <wp:extent cx="3114675" cy="36195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14675" cy="361950"/>
                    </a:xfrm>
                    <a:prstGeom prst="rect">
                      <a:avLst/>
                    </a:prstGeom>
                  </pic:spPr>
                </pic:pic>
              </a:graphicData>
            </a:graphic>
          </wp:inline>
        </w:drawing>
      </w:r>
    </w:p>
    <w:p w14:paraId="4B14DF89" w14:textId="7AD05625" w:rsidR="00E85B58" w:rsidRDefault="00E85B58">
      <w:pPr>
        <w:rPr>
          <w:b/>
          <w:bCs/>
        </w:rPr>
      </w:pPr>
    </w:p>
    <w:p w14:paraId="2585BF4E" w14:textId="77777777" w:rsidR="00E85B58" w:rsidRDefault="00E85B58">
      <w:pPr>
        <w:rPr>
          <w:b/>
          <w:bCs/>
        </w:rPr>
      </w:pPr>
    </w:p>
    <w:p w14:paraId="2FF6AAF6" w14:textId="391963A5" w:rsidR="00AA4C25" w:rsidRDefault="00AA4C25" w:rsidP="000712B4">
      <w:pPr>
        <w:pBdr>
          <w:top w:val="single" w:sz="4" w:space="1" w:color="auto"/>
          <w:left w:val="single" w:sz="4" w:space="4" w:color="auto"/>
          <w:bottom w:val="single" w:sz="4" w:space="1" w:color="auto"/>
          <w:right w:val="single" w:sz="4" w:space="4" w:color="auto"/>
        </w:pBdr>
        <w:rPr>
          <w:b/>
          <w:bCs/>
        </w:rPr>
      </w:pPr>
      <w:r>
        <w:rPr>
          <w:b/>
          <w:bCs/>
        </w:rPr>
        <w:lastRenderedPageBreak/>
        <w:t>Concours X-ENS-ESPCI</w:t>
      </w:r>
      <w:r w:rsidR="000712B4">
        <w:rPr>
          <w:b/>
          <w:bCs/>
        </w:rPr>
        <w:t xml:space="preserve"> Chimie PC 2014</w:t>
      </w:r>
    </w:p>
    <w:p w14:paraId="285911FC" w14:textId="0A38E337" w:rsidR="000712B4" w:rsidRDefault="000712B4" w:rsidP="000712B4">
      <w:pPr>
        <w:pStyle w:val="Style1"/>
        <w:kinsoku w:val="0"/>
        <w:overflowPunct w:val="0"/>
        <w:autoSpaceDE/>
        <w:autoSpaceDN/>
        <w:adjustRightInd/>
        <w:spacing w:after="159" w:line="370" w:lineRule="exact"/>
        <w:ind w:left="288" w:right="4608"/>
        <w:textAlignment w:val="baseline"/>
        <w:rPr>
          <w:szCs w:val="23"/>
        </w:rPr>
      </w:pPr>
      <w:r>
        <w:rPr>
          <w:noProof/>
        </w:rPr>
        <mc:AlternateContent>
          <mc:Choice Requires="wps">
            <w:drawing>
              <wp:anchor distT="0" distB="0" distL="0" distR="0" simplePos="0" relativeHeight="251664384" behindDoc="0" locked="0" layoutInCell="0" allowOverlap="1" wp14:anchorId="1C6C53BD" wp14:editId="04FD7331">
                <wp:simplePos x="0" y="0"/>
                <wp:positionH relativeFrom="page">
                  <wp:posOffset>3689350</wp:posOffset>
                </wp:positionH>
                <wp:positionV relativeFrom="page">
                  <wp:posOffset>9399270</wp:posOffset>
                </wp:positionV>
                <wp:extent cx="183515" cy="170815"/>
                <wp:effectExtent l="0" t="0" r="0" b="0"/>
                <wp:wrapSquare wrapText="bothSides"/>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708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64FB8C" w14:textId="77777777" w:rsidR="000712B4" w:rsidRDefault="000712B4" w:rsidP="000712B4">
                            <w:pPr>
                              <w:pStyle w:val="Style1"/>
                              <w:kinsoku w:val="0"/>
                              <w:overflowPunct w:val="0"/>
                              <w:autoSpaceDE/>
                              <w:autoSpaceDN/>
                              <w:adjustRightInd/>
                              <w:spacing w:before="14" w:line="246" w:lineRule="exact"/>
                              <w:textAlignment w:val="baseline"/>
                              <w:rPr>
                                <w:rFonts w:ascii="Arial" w:hAnsi="Arial" w:cs="Arial"/>
                                <w:sz w:val="23"/>
                                <w:szCs w:val="23"/>
                              </w:rPr>
                            </w:pPr>
                            <w:r>
                              <w:rPr>
                                <w:rFonts w:ascii="Arial" w:hAnsi="Arial" w:cs="Arial"/>
                                <w:sz w:val="23"/>
                                <w:szCs w:val="23"/>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C53BD" id="_x0000_t202" coordsize="21600,21600" o:spt="202" path="m,l,21600r21600,l21600,xe">
                <v:stroke joinstyle="miter"/>
                <v:path gradientshapeok="t" o:connecttype="rect"/>
              </v:shapetype>
              <v:shape id="Zone de texte 26" o:spid="_x0000_s1026" type="#_x0000_t202" style="position:absolute;left:0;text-align:left;margin-left:290.5pt;margin-top:740.1pt;width:14.45pt;height:13.4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" o:allowincell="f" stroked="f">
                <v:fill opacity="0"/>
                <v:textbox inset="0,0,0,0">
                  <w:txbxContent>
                    <w:p w14:paraId="4864FB8C" w14:textId="77777777" w:rsidR="000712B4" w:rsidRDefault="000712B4" w:rsidP="000712B4">
                      <w:pPr>
                        <w:pStyle w:val="Style1"/>
                        <w:kinsoku w:val="0"/>
                        <w:overflowPunct w:val="0"/>
                        <w:autoSpaceDE/>
                        <w:autoSpaceDN/>
                        <w:adjustRightInd/>
                        <w:spacing w:before="14" w:line="246" w:lineRule="exact"/>
                        <w:textAlignment w:val="baseline"/>
                        <w:rPr>
                          <w:rFonts w:ascii="Arial" w:hAnsi="Arial" w:cs="Arial"/>
                          <w:sz w:val="23"/>
                          <w:szCs w:val="23"/>
                        </w:rPr>
                      </w:pPr>
                      <w:r>
                        <w:rPr>
                          <w:rFonts w:ascii="Arial" w:hAnsi="Arial" w:cs="Arial"/>
                          <w:sz w:val="23"/>
                          <w:szCs w:val="23"/>
                        </w:rPr>
                        <w:t>2</w:t>
                      </w:r>
                    </w:p>
                  </w:txbxContent>
                </v:textbox>
                <w10:wrap type="square" anchorx="page" anchory="page"/>
              </v:shape>
            </w:pict>
          </mc:Fallback>
        </mc:AlternateContent>
      </w:r>
      <w:r>
        <w:rPr>
          <w:b/>
          <w:bCs/>
          <w:szCs w:val="21"/>
        </w:rPr>
        <w:t>Données thermodynamiques à 298 K :</w:t>
      </w:r>
      <w:r>
        <w:rPr>
          <w:szCs w:val="23"/>
        </w:rPr>
        <w:t xml:space="preserve"> Masses molaires :</w:t>
      </w:r>
    </w:p>
    <w:tbl>
      <w:tblPr>
        <w:tblW w:w="0" w:type="auto"/>
        <w:tblInd w:w="10" w:type="dxa"/>
        <w:tblLayout w:type="fixed"/>
        <w:tblCellMar>
          <w:left w:w="0" w:type="dxa"/>
          <w:right w:w="0" w:type="dxa"/>
        </w:tblCellMar>
        <w:tblLook w:val="0000" w:firstRow="0" w:lastRow="0" w:firstColumn="0" w:lastColumn="0" w:noHBand="0" w:noVBand="0"/>
      </w:tblPr>
      <w:tblGrid>
        <w:gridCol w:w="2597"/>
        <w:gridCol w:w="811"/>
        <w:gridCol w:w="816"/>
        <w:gridCol w:w="816"/>
        <w:gridCol w:w="811"/>
        <w:gridCol w:w="816"/>
        <w:gridCol w:w="811"/>
        <w:gridCol w:w="816"/>
        <w:gridCol w:w="816"/>
      </w:tblGrid>
      <w:tr w:rsidR="000712B4" w14:paraId="0247CF61" w14:textId="77777777" w:rsidTr="0006291A">
        <w:tblPrEx>
          <w:tblCellMar>
            <w:top w:w="0" w:type="dxa"/>
            <w:left w:w="0" w:type="dxa"/>
            <w:bottom w:w="0" w:type="dxa"/>
            <w:right w:w="0" w:type="dxa"/>
          </w:tblCellMar>
        </w:tblPrEx>
        <w:trPr>
          <w:trHeight w:hRule="exact" w:val="355"/>
        </w:trPr>
        <w:tc>
          <w:tcPr>
            <w:tcW w:w="2597" w:type="dxa"/>
            <w:tcBorders>
              <w:top w:val="single" w:sz="4" w:space="0" w:color="auto"/>
              <w:left w:val="single" w:sz="4" w:space="0" w:color="auto"/>
              <w:bottom w:val="single" w:sz="4" w:space="0" w:color="auto"/>
              <w:right w:val="single" w:sz="4" w:space="0" w:color="auto"/>
            </w:tcBorders>
            <w:vAlign w:val="center"/>
          </w:tcPr>
          <w:p w14:paraId="7C13BA0C" w14:textId="77777777" w:rsidR="000712B4" w:rsidRDefault="000712B4" w:rsidP="0006291A">
            <w:pPr>
              <w:pStyle w:val="Style1"/>
              <w:kinsoku w:val="0"/>
              <w:overflowPunct w:val="0"/>
              <w:autoSpaceDE/>
              <w:autoSpaceDN/>
              <w:adjustRightInd/>
              <w:spacing w:before="46" w:after="49" w:line="255" w:lineRule="exact"/>
              <w:ind w:left="134"/>
              <w:textAlignment w:val="baseline"/>
              <w:rPr>
                <w:spacing w:val="-9"/>
                <w:szCs w:val="23"/>
              </w:rPr>
            </w:pPr>
            <w:r>
              <w:rPr>
                <w:spacing w:val="-9"/>
                <w:szCs w:val="23"/>
              </w:rPr>
              <w:t>Élément</w:t>
            </w:r>
          </w:p>
        </w:tc>
        <w:tc>
          <w:tcPr>
            <w:tcW w:w="811" w:type="dxa"/>
            <w:tcBorders>
              <w:top w:val="single" w:sz="4" w:space="0" w:color="auto"/>
              <w:left w:val="single" w:sz="4" w:space="0" w:color="auto"/>
              <w:bottom w:val="single" w:sz="4" w:space="0" w:color="auto"/>
              <w:right w:val="single" w:sz="4" w:space="0" w:color="auto"/>
            </w:tcBorders>
            <w:vAlign w:val="center"/>
          </w:tcPr>
          <w:p w14:paraId="1BD565D5" w14:textId="77777777" w:rsidR="000712B4" w:rsidRDefault="000712B4" w:rsidP="0006291A">
            <w:pPr>
              <w:pStyle w:val="Style1"/>
              <w:kinsoku w:val="0"/>
              <w:overflowPunct w:val="0"/>
              <w:autoSpaceDE/>
              <w:autoSpaceDN/>
              <w:adjustRightInd/>
              <w:spacing w:before="46" w:after="49" w:line="255" w:lineRule="exact"/>
              <w:jc w:val="center"/>
              <w:textAlignment w:val="baseline"/>
              <w:rPr>
                <w:szCs w:val="23"/>
              </w:rPr>
            </w:pPr>
            <w:r>
              <w:rPr>
                <w:szCs w:val="23"/>
              </w:rPr>
              <w:t>H</w:t>
            </w:r>
          </w:p>
        </w:tc>
        <w:tc>
          <w:tcPr>
            <w:tcW w:w="816" w:type="dxa"/>
            <w:tcBorders>
              <w:top w:val="single" w:sz="4" w:space="0" w:color="auto"/>
              <w:left w:val="single" w:sz="4" w:space="0" w:color="auto"/>
              <w:bottom w:val="single" w:sz="4" w:space="0" w:color="auto"/>
              <w:right w:val="single" w:sz="4" w:space="0" w:color="auto"/>
            </w:tcBorders>
            <w:vAlign w:val="center"/>
          </w:tcPr>
          <w:p w14:paraId="64B05F70" w14:textId="77777777" w:rsidR="000712B4" w:rsidRDefault="000712B4" w:rsidP="0006291A">
            <w:pPr>
              <w:pStyle w:val="Style1"/>
              <w:kinsoku w:val="0"/>
              <w:overflowPunct w:val="0"/>
              <w:autoSpaceDE/>
              <w:autoSpaceDN/>
              <w:adjustRightInd/>
              <w:spacing w:before="46" w:after="49" w:line="255" w:lineRule="exact"/>
              <w:jc w:val="center"/>
              <w:textAlignment w:val="baseline"/>
              <w:rPr>
                <w:szCs w:val="23"/>
              </w:rPr>
            </w:pPr>
            <w:r>
              <w:rPr>
                <w:szCs w:val="23"/>
              </w:rPr>
              <w:t>C</w:t>
            </w:r>
          </w:p>
        </w:tc>
        <w:tc>
          <w:tcPr>
            <w:tcW w:w="816" w:type="dxa"/>
            <w:tcBorders>
              <w:top w:val="single" w:sz="4" w:space="0" w:color="auto"/>
              <w:left w:val="single" w:sz="4" w:space="0" w:color="auto"/>
              <w:bottom w:val="single" w:sz="4" w:space="0" w:color="auto"/>
              <w:right w:val="single" w:sz="4" w:space="0" w:color="auto"/>
            </w:tcBorders>
            <w:vAlign w:val="center"/>
          </w:tcPr>
          <w:p w14:paraId="5D4A3B54" w14:textId="77777777" w:rsidR="000712B4" w:rsidRDefault="000712B4" w:rsidP="0006291A">
            <w:pPr>
              <w:pStyle w:val="Style1"/>
              <w:kinsoku w:val="0"/>
              <w:overflowPunct w:val="0"/>
              <w:autoSpaceDE/>
              <w:autoSpaceDN/>
              <w:adjustRightInd/>
              <w:spacing w:before="46" w:after="49" w:line="255" w:lineRule="exact"/>
              <w:jc w:val="center"/>
              <w:textAlignment w:val="baseline"/>
              <w:rPr>
                <w:szCs w:val="23"/>
              </w:rPr>
            </w:pPr>
            <w:r>
              <w:rPr>
                <w:szCs w:val="23"/>
              </w:rPr>
              <w:t>N</w:t>
            </w:r>
          </w:p>
        </w:tc>
        <w:tc>
          <w:tcPr>
            <w:tcW w:w="811" w:type="dxa"/>
            <w:tcBorders>
              <w:top w:val="single" w:sz="4" w:space="0" w:color="auto"/>
              <w:left w:val="single" w:sz="4" w:space="0" w:color="auto"/>
              <w:bottom w:val="single" w:sz="4" w:space="0" w:color="auto"/>
              <w:right w:val="single" w:sz="4" w:space="0" w:color="auto"/>
            </w:tcBorders>
            <w:vAlign w:val="center"/>
          </w:tcPr>
          <w:p w14:paraId="03D2F816" w14:textId="77777777" w:rsidR="000712B4" w:rsidRDefault="000712B4" w:rsidP="0006291A">
            <w:pPr>
              <w:pStyle w:val="Style1"/>
              <w:kinsoku w:val="0"/>
              <w:overflowPunct w:val="0"/>
              <w:autoSpaceDE/>
              <w:autoSpaceDN/>
              <w:adjustRightInd/>
              <w:spacing w:before="46" w:after="49" w:line="255" w:lineRule="exact"/>
              <w:jc w:val="center"/>
              <w:textAlignment w:val="baseline"/>
              <w:rPr>
                <w:szCs w:val="23"/>
              </w:rPr>
            </w:pPr>
            <w:r>
              <w:rPr>
                <w:szCs w:val="23"/>
              </w:rPr>
              <w:t>O</w:t>
            </w:r>
          </w:p>
        </w:tc>
        <w:tc>
          <w:tcPr>
            <w:tcW w:w="816" w:type="dxa"/>
            <w:tcBorders>
              <w:top w:val="single" w:sz="4" w:space="0" w:color="auto"/>
              <w:left w:val="single" w:sz="4" w:space="0" w:color="auto"/>
              <w:bottom w:val="single" w:sz="4" w:space="0" w:color="auto"/>
              <w:right w:val="single" w:sz="4" w:space="0" w:color="auto"/>
            </w:tcBorders>
            <w:vAlign w:val="center"/>
          </w:tcPr>
          <w:p w14:paraId="4F840D0D" w14:textId="77777777" w:rsidR="000712B4" w:rsidRDefault="000712B4" w:rsidP="0006291A">
            <w:pPr>
              <w:pStyle w:val="Style1"/>
              <w:kinsoku w:val="0"/>
              <w:overflowPunct w:val="0"/>
              <w:autoSpaceDE/>
              <w:autoSpaceDN/>
              <w:adjustRightInd/>
              <w:spacing w:before="46" w:after="49" w:line="255" w:lineRule="exact"/>
              <w:jc w:val="center"/>
              <w:textAlignment w:val="baseline"/>
              <w:rPr>
                <w:szCs w:val="23"/>
              </w:rPr>
            </w:pPr>
            <w:r>
              <w:rPr>
                <w:szCs w:val="23"/>
              </w:rPr>
              <w:t>S</w:t>
            </w:r>
          </w:p>
        </w:tc>
        <w:tc>
          <w:tcPr>
            <w:tcW w:w="811" w:type="dxa"/>
            <w:tcBorders>
              <w:top w:val="single" w:sz="4" w:space="0" w:color="auto"/>
              <w:left w:val="single" w:sz="4" w:space="0" w:color="auto"/>
              <w:bottom w:val="single" w:sz="4" w:space="0" w:color="auto"/>
              <w:right w:val="single" w:sz="4" w:space="0" w:color="auto"/>
            </w:tcBorders>
            <w:vAlign w:val="center"/>
          </w:tcPr>
          <w:p w14:paraId="17F59A3F" w14:textId="77777777" w:rsidR="000712B4" w:rsidRDefault="000712B4" w:rsidP="0006291A">
            <w:pPr>
              <w:pStyle w:val="Style1"/>
              <w:kinsoku w:val="0"/>
              <w:overflowPunct w:val="0"/>
              <w:autoSpaceDE/>
              <w:autoSpaceDN/>
              <w:adjustRightInd/>
              <w:spacing w:before="46" w:after="49" w:line="255" w:lineRule="exact"/>
              <w:jc w:val="center"/>
              <w:textAlignment w:val="baseline"/>
              <w:rPr>
                <w:spacing w:val="-3"/>
                <w:szCs w:val="23"/>
              </w:rPr>
            </w:pPr>
            <w:r>
              <w:rPr>
                <w:spacing w:val="-3"/>
                <w:szCs w:val="23"/>
              </w:rPr>
              <w:t>Cl</w:t>
            </w:r>
          </w:p>
        </w:tc>
        <w:tc>
          <w:tcPr>
            <w:tcW w:w="816" w:type="dxa"/>
            <w:tcBorders>
              <w:top w:val="single" w:sz="4" w:space="0" w:color="auto"/>
              <w:left w:val="single" w:sz="4" w:space="0" w:color="auto"/>
              <w:bottom w:val="single" w:sz="4" w:space="0" w:color="auto"/>
              <w:right w:val="single" w:sz="4" w:space="0" w:color="auto"/>
            </w:tcBorders>
            <w:vAlign w:val="center"/>
          </w:tcPr>
          <w:p w14:paraId="442B134A" w14:textId="77777777" w:rsidR="000712B4" w:rsidRDefault="000712B4" w:rsidP="0006291A">
            <w:pPr>
              <w:pStyle w:val="Style1"/>
              <w:kinsoku w:val="0"/>
              <w:overflowPunct w:val="0"/>
              <w:autoSpaceDE/>
              <w:autoSpaceDN/>
              <w:adjustRightInd/>
              <w:spacing w:before="46" w:after="49" w:line="255" w:lineRule="exact"/>
              <w:jc w:val="center"/>
              <w:textAlignment w:val="baseline"/>
              <w:rPr>
                <w:spacing w:val="-5"/>
                <w:szCs w:val="23"/>
              </w:rPr>
            </w:pPr>
            <w:r>
              <w:rPr>
                <w:spacing w:val="-5"/>
                <w:szCs w:val="23"/>
              </w:rPr>
              <w:t>Ag</w:t>
            </w:r>
          </w:p>
        </w:tc>
        <w:tc>
          <w:tcPr>
            <w:tcW w:w="816" w:type="dxa"/>
            <w:tcBorders>
              <w:top w:val="single" w:sz="4" w:space="0" w:color="auto"/>
              <w:left w:val="single" w:sz="4" w:space="0" w:color="auto"/>
              <w:bottom w:val="single" w:sz="4" w:space="0" w:color="auto"/>
              <w:right w:val="single" w:sz="4" w:space="0" w:color="auto"/>
            </w:tcBorders>
            <w:vAlign w:val="center"/>
          </w:tcPr>
          <w:p w14:paraId="438FE4C2" w14:textId="77777777" w:rsidR="000712B4" w:rsidRDefault="000712B4" w:rsidP="0006291A">
            <w:pPr>
              <w:pStyle w:val="Style1"/>
              <w:kinsoku w:val="0"/>
              <w:overflowPunct w:val="0"/>
              <w:autoSpaceDE/>
              <w:autoSpaceDN/>
              <w:adjustRightInd/>
              <w:spacing w:before="46" w:after="49" w:line="255" w:lineRule="exact"/>
              <w:jc w:val="center"/>
              <w:textAlignment w:val="baseline"/>
              <w:rPr>
                <w:szCs w:val="23"/>
              </w:rPr>
            </w:pPr>
            <w:r>
              <w:rPr>
                <w:szCs w:val="23"/>
              </w:rPr>
              <w:t>I</w:t>
            </w:r>
          </w:p>
        </w:tc>
      </w:tr>
      <w:tr w:rsidR="000712B4" w14:paraId="49D350B0" w14:textId="77777777" w:rsidTr="0006291A">
        <w:tblPrEx>
          <w:tblCellMar>
            <w:top w:w="0" w:type="dxa"/>
            <w:left w:w="0" w:type="dxa"/>
            <w:bottom w:w="0" w:type="dxa"/>
            <w:right w:w="0" w:type="dxa"/>
          </w:tblCellMar>
        </w:tblPrEx>
        <w:trPr>
          <w:trHeight w:hRule="exact" w:val="350"/>
        </w:trPr>
        <w:tc>
          <w:tcPr>
            <w:tcW w:w="2597" w:type="dxa"/>
            <w:tcBorders>
              <w:top w:val="single" w:sz="4" w:space="0" w:color="auto"/>
              <w:left w:val="single" w:sz="4" w:space="0" w:color="auto"/>
              <w:bottom w:val="single" w:sz="4" w:space="0" w:color="auto"/>
              <w:right w:val="single" w:sz="4" w:space="0" w:color="auto"/>
            </w:tcBorders>
            <w:vAlign w:val="center"/>
          </w:tcPr>
          <w:p w14:paraId="17EB7B1B" w14:textId="77777777" w:rsidR="000712B4" w:rsidRDefault="000712B4" w:rsidP="0006291A">
            <w:pPr>
              <w:pStyle w:val="Style1"/>
              <w:kinsoku w:val="0"/>
              <w:overflowPunct w:val="0"/>
              <w:autoSpaceDE/>
              <w:autoSpaceDN/>
              <w:adjustRightInd/>
              <w:spacing w:before="32" w:after="15" w:line="293" w:lineRule="exact"/>
              <w:ind w:left="134"/>
              <w:textAlignment w:val="baseline"/>
              <w:rPr>
                <w:spacing w:val="-7"/>
                <w:szCs w:val="23"/>
                <w:vertAlign w:val="superscript"/>
              </w:rPr>
            </w:pPr>
            <w:r>
              <w:rPr>
                <w:spacing w:val="-7"/>
                <w:szCs w:val="23"/>
              </w:rPr>
              <w:t>Masse molaire / g.mol</w:t>
            </w:r>
            <w:r>
              <w:rPr>
                <w:b/>
                <w:bCs/>
                <w:spacing w:val="-7"/>
                <w:szCs w:val="23"/>
                <w:vertAlign w:val="superscript"/>
              </w:rPr>
              <w:t>−</w:t>
            </w:r>
            <w:r>
              <w:rPr>
                <w:spacing w:val="-7"/>
                <w:szCs w:val="23"/>
                <w:vertAlign w:val="superscript"/>
              </w:rPr>
              <w:t>1</w:t>
            </w:r>
          </w:p>
        </w:tc>
        <w:tc>
          <w:tcPr>
            <w:tcW w:w="811" w:type="dxa"/>
            <w:tcBorders>
              <w:top w:val="single" w:sz="4" w:space="0" w:color="auto"/>
              <w:left w:val="single" w:sz="4" w:space="0" w:color="auto"/>
              <w:bottom w:val="single" w:sz="4" w:space="0" w:color="auto"/>
              <w:right w:val="single" w:sz="4" w:space="0" w:color="auto"/>
            </w:tcBorders>
            <w:vAlign w:val="center"/>
          </w:tcPr>
          <w:p w14:paraId="3FDE7D7F" w14:textId="77777777" w:rsidR="000712B4" w:rsidRDefault="000712B4" w:rsidP="0006291A">
            <w:pPr>
              <w:pStyle w:val="Style1"/>
              <w:kinsoku w:val="0"/>
              <w:overflowPunct w:val="0"/>
              <w:autoSpaceDE/>
              <w:autoSpaceDN/>
              <w:adjustRightInd/>
              <w:spacing w:before="41" w:after="44" w:line="255" w:lineRule="exact"/>
              <w:jc w:val="center"/>
              <w:textAlignment w:val="baseline"/>
              <w:rPr>
                <w:spacing w:val="-16"/>
                <w:szCs w:val="23"/>
              </w:rPr>
            </w:pPr>
            <w:r>
              <w:rPr>
                <w:spacing w:val="-16"/>
                <w:szCs w:val="23"/>
              </w:rPr>
              <w:t>1,0</w:t>
            </w:r>
          </w:p>
        </w:tc>
        <w:tc>
          <w:tcPr>
            <w:tcW w:w="816" w:type="dxa"/>
            <w:tcBorders>
              <w:top w:val="single" w:sz="4" w:space="0" w:color="auto"/>
              <w:left w:val="single" w:sz="4" w:space="0" w:color="auto"/>
              <w:bottom w:val="single" w:sz="4" w:space="0" w:color="auto"/>
              <w:right w:val="single" w:sz="4" w:space="0" w:color="auto"/>
            </w:tcBorders>
            <w:vAlign w:val="center"/>
          </w:tcPr>
          <w:p w14:paraId="558154F1" w14:textId="77777777" w:rsidR="000712B4" w:rsidRDefault="000712B4" w:rsidP="0006291A">
            <w:pPr>
              <w:pStyle w:val="Style1"/>
              <w:kinsoku w:val="0"/>
              <w:overflowPunct w:val="0"/>
              <w:autoSpaceDE/>
              <w:autoSpaceDN/>
              <w:adjustRightInd/>
              <w:spacing w:before="41" w:after="44" w:line="255" w:lineRule="exact"/>
              <w:jc w:val="center"/>
              <w:textAlignment w:val="baseline"/>
              <w:rPr>
                <w:spacing w:val="-17"/>
                <w:szCs w:val="23"/>
              </w:rPr>
            </w:pPr>
            <w:r>
              <w:rPr>
                <w:spacing w:val="-17"/>
                <w:szCs w:val="23"/>
              </w:rPr>
              <w:t>12,0</w:t>
            </w:r>
          </w:p>
        </w:tc>
        <w:tc>
          <w:tcPr>
            <w:tcW w:w="816" w:type="dxa"/>
            <w:tcBorders>
              <w:top w:val="single" w:sz="4" w:space="0" w:color="auto"/>
              <w:left w:val="single" w:sz="4" w:space="0" w:color="auto"/>
              <w:bottom w:val="single" w:sz="4" w:space="0" w:color="auto"/>
              <w:right w:val="single" w:sz="4" w:space="0" w:color="auto"/>
            </w:tcBorders>
            <w:vAlign w:val="center"/>
          </w:tcPr>
          <w:p w14:paraId="5DA4794A" w14:textId="77777777" w:rsidR="000712B4" w:rsidRDefault="000712B4" w:rsidP="0006291A">
            <w:pPr>
              <w:pStyle w:val="Style1"/>
              <w:kinsoku w:val="0"/>
              <w:overflowPunct w:val="0"/>
              <w:autoSpaceDE/>
              <w:autoSpaceDN/>
              <w:adjustRightInd/>
              <w:spacing w:before="41" w:after="44" w:line="255" w:lineRule="exact"/>
              <w:jc w:val="center"/>
              <w:textAlignment w:val="baseline"/>
              <w:rPr>
                <w:spacing w:val="-17"/>
                <w:szCs w:val="23"/>
              </w:rPr>
            </w:pPr>
            <w:r>
              <w:rPr>
                <w:spacing w:val="-17"/>
                <w:szCs w:val="23"/>
              </w:rPr>
              <w:t>14,0</w:t>
            </w:r>
          </w:p>
        </w:tc>
        <w:tc>
          <w:tcPr>
            <w:tcW w:w="811" w:type="dxa"/>
            <w:tcBorders>
              <w:top w:val="single" w:sz="4" w:space="0" w:color="auto"/>
              <w:left w:val="single" w:sz="4" w:space="0" w:color="auto"/>
              <w:bottom w:val="single" w:sz="4" w:space="0" w:color="auto"/>
              <w:right w:val="single" w:sz="4" w:space="0" w:color="auto"/>
            </w:tcBorders>
            <w:vAlign w:val="center"/>
          </w:tcPr>
          <w:p w14:paraId="09CE00A0" w14:textId="77777777" w:rsidR="000712B4" w:rsidRDefault="000712B4" w:rsidP="0006291A">
            <w:pPr>
              <w:pStyle w:val="Style1"/>
              <w:kinsoku w:val="0"/>
              <w:overflowPunct w:val="0"/>
              <w:autoSpaceDE/>
              <w:autoSpaceDN/>
              <w:adjustRightInd/>
              <w:spacing w:before="41" w:after="44" w:line="255" w:lineRule="exact"/>
              <w:jc w:val="center"/>
              <w:textAlignment w:val="baseline"/>
              <w:rPr>
                <w:spacing w:val="-17"/>
                <w:szCs w:val="23"/>
              </w:rPr>
            </w:pPr>
            <w:r>
              <w:rPr>
                <w:spacing w:val="-17"/>
                <w:szCs w:val="23"/>
              </w:rPr>
              <w:t>16,0</w:t>
            </w:r>
          </w:p>
        </w:tc>
        <w:tc>
          <w:tcPr>
            <w:tcW w:w="816" w:type="dxa"/>
            <w:tcBorders>
              <w:top w:val="single" w:sz="4" w:space="0" w:color="auto"/>
              <w:left w:val="single" w:sz="4" w:space="0" w:color="auto"/>
              <w:bottom w:val="single" w:sz="4" w:space="0" w:color="auto"/>
              <w:right w:val="single" w:sz="4" w:space="0" w:color="auto"/>
            </w:tcBorders>
            <w:vAlign w:val="center"/>
          </w:tcPr>
          <w:p w14:paraId="3EFAAD74" w14:textId="77777777" w:rsidR="000712B4" w:rsidRDefault="000712B4" w:rsidP="0006291A">
            <w:pPr>
              <w:pStyle w:val="Style1"/>
              <w:kinsoku w:val="0"/>
              <w:overflowPunct w:val="0"/>
              <w:autoSpaceDE/>
              <w:autoSpaceDN/>
              <w:adjustRightInd/>
              <w:spacing w:before="41" w:after="44" w:line="255" w:lineRule="exact"/>
              <w:jc w:val="center"/>
              <w:textAlignment w:val="baseline"/>
              <w:rPr>
                <w:spacing w:val="-16"/>
                <w:szCs w:val="23"/>
              </w:rPr>
            </w:pPr>
            <w:r>
              <w:rPr>
                <w:spacing w:val="-16"/>
                <w:szCs w:val="23"/>
              </w:rPr>
              <w:t>32,1</w:t>
            </w:r>
          </w:p>
        </w:tc>
        <w:tc>
          <w:tcPr>
            <w:tcW w:w="811" w:type="dxa"/>
            <w:tcBorders>
              <w:top w:val="single" w:sz="4" w:space="0" w:color="auto"/>
              <w:left w:val="single" w:sz="4" w:space="0" w:color="auto"/>
              <w:bottom w:val="single" w:sz="4" w:space="0" w:color="auto"/>
              <w:right w:val="single" w:sz="4" w:space="0" w:color="auto"/>
            </w:tcBorders>
            <w:vAlign w:val="center"/>
          </w:tcPr>
          <w:p w14:paraId="31DCFEE1" w14:textId="77777777" w:rsidR="000712B4" w:rsidRDefault="000712B4" w:rsidP="0006291A">
            <w:pPr>
              <w:pStyle w:val="Style1"/>
              <w:kinsoku w:val="0"/>
              <w:overflowPunct w:val="0"/>
              <w:autoSpaceDE/>
              <w:autoSpaceDN/>
              <w:adjustRightInd/>
              <w:spacing w:before="41" w:after="44" w:line="255" w:lineRule="exact"/>
              <w:jc w:val="center"/>
              <w:textAlignment w:val="baseline"/>
              <w:rPr>
                <w:spacing w:val="-14"/>
                <w:szCs w:val="23"/>
              </w:rPr>
            </w:pPr>
            <w:r>
              <w:rPr>
                <w:spacing w:val="-14"/>
                <w:szCs w:val="23"/>
              </w:rPr>
              <w:t>35,5</w:t>
            </w:r>
          </w:p>
        </w:tc>
        <w:tc>
          <w:tcPr>
            <w:tcW w:w="816" w:type="dxa"/>
            <w:tcBorders>
              <w:top w:val="single" w:sz="4" w:space="0" w:color="auto"/>
              <w:left w:val="single" w:sz="4" w:space="0" w:color="auto"/>
              <w:bottom w:val="single" w:sz="4" w:space="0" w:color="auto"/>
              <w:right w:val="single" w:sz="4" w:space="0" w:color="auto"/>
            </w:tcBorders>
            <w:vAlign w:val="center"/>
          </w:tcPr>
          <w:p w14:paraId="062AB903" w14:textId="77777777" w:rsidR="000712B4" w:rsidRDefault="000712B4" w:rsidP="0006291A">
            <w:pPr>
              <w:pStyle w:val="Style1"/>
              <w:kinsoku w:val="0"/>
              <w:overflowPunct w:val="0"/>
              <w:autoSpaceDE/>
              <w:autoSpaceDN/>
              <w:adjustRightInd/>
              <w:spacing w:before="41" w:after="44" w:line="255" w:lineRule="exact"/>
              <w:jc w:val="center"/>
              <w:textAlignment w:val="baseline"/>
              <w:rPr>
                <w:spacing w:val="-18"/>
                <w:szCs w:val="23"/>
              </w:rPr>
            </w:pPr>
            <w:r>
              <w:rPr>
                <w:spacing w:val="-18"/>
                <w:szCs w:val="23"/>
              </w:rPr>
              <w:t>107,9</w:t>
            </w:r>
          </w:p>
        </w:tc>
        <w:tc>
          <w:tcPr>
            <w:tcW w:w="816" w:type="dxa"/>
            <w:tcBorders>
              <w:top w:val="single" w:sz="4" w:space="0" w:color="auto"/>
              <w:left w:val="single" w:sz="4" w:space="0" w:color="auto"/>
              <w:bottom w:val="single" w:sz="4" w:space="0" w:color="auto"/>
              <w:right w:val="single" w:sz="4" w:space="0" w:color="auto"/>
            </w:tcBorders>
            <w:vAlign w:val="center"/>
          </w:tcPr>
          <w:p w14:paraId="30084F34" w14:textId="77777777" w:rsidR="000712B4" w:rsidRDefault="000712B4" w:rsidP="0006291A">
            <w:pPr>
              <w:pStyle w:val="Style1"/>
              <w:kinsoku w:val="0"/>
              <w:overflowPunct w:val="0"/>
              <w:autoSpaceDE/>
              <w:autoSpaceDN/>
              <w:adjustRightInd/>
              <w:spacing w:before="41" w:after="44" w:line="255" w:lineRule="exact"/>
              <w:jc w:val="center"/>
              <w:textAlignment w:val="baseline"/>
              <w:rPr>
                <w:spacing w:val="-17"/>
                <w:szCs w:val="23"/>
              </w:rPr>
            </w:pPr>
            <w:r>
              <w:rPr>
                <w:spacing w:val="-17"/>
                <w:szCs w:val="23"/>
              </w:rPr>
              <w:t>126,7</w:t>
            </w:r>
          </w:p>
        </w:tc>
      </w:tr>
    </w:tbl>
    <w:p w14:paraId="4ACB3EC3" w14:textId="77777777" w:rsidR="000712B4" w:rsidRDefault="000712B4" w:rsidP="000712B4">
      <w:pPr>
        <w:spacing w:after="249" w:line="20" w:lineRule="exact"/>
        <w:ind w:left="5" w:right="5"/>
      </w:pPr>
    </w:p>
    <w:p w14:paraId="72339BF9" w14:textId="77777777" w:rsidR="000712B4" w:rsidRDefault="000712B4" w:rsidP="000712B4">
      <w:pPr>
        <w:pStyle w:val="Style1"/>
        <w:kinsoku w:val="0"/>
        <w:overflowPunct w:val="0"/>
        <w:autoSpaceDE/>
        <w:autoSpaceDN/>
        <w:adjustRightInd/>
        <w:spacing w:before="83" w:after="152" w:line="293" w:lineRule="exact"/>
        <w:ind w:left="288"/>
        <w:textAlignment w:val="baseline"/>
        <w:rPr>
          <w:spacing w:val="-10"/>
          <w:szCs w:val="23"/>
        </w:rPr>
      </w:pPr>
      <w:r>
        <w:rPr>
          <w:spacing w:val="-10"/>
          <w:szCs w:val="23"/>
        </w:rPr>
        <w:t>Masses volumiques (en g.cm</w:t>
      </w:r>
      <w:r>
        <w:rPr>
          <w:b/>
          <w:bCs/>
          <w:spacing w:val="-10"/>
          <w:szCs w:val="23"/>
          <w:vertAlign w:val="superscript"/>
        </w:rPr>
        <w:t>−</w:t>
      </w:r>
      <w:r>
        <w:rPr>
          <w:spacing w:val="-10"/>
          <w:szCs w:val="23"/>
          <w:vertAlign w:val="superscript"/>
        </w:rPr>
        <w:t>3</w:t>
      </w:r>
      <w:r>
        <w:rPr>
          <w:spacing w:val="-10"/>
          <w:szCs w:val="23"/>
        </w:rPr>
        <w:t>) :</w:t>
      </w:r>
    </w:p>
    <w:tbl>
      <w:tblPr>
        <w:tblW w:w="0" w:type="auto"/>
        <w:tblInd w:w="1944" w:type="dxa"/>
        <w:tblLayout w:type="fixed"/>
        <w:tblCellMar>
          <w:left w:w="0" w:type="dxa"/>
          <w:right w:w="0" w:type="dxa"/>
        </w:tblCellMar>
        <w:tblLook w:val="0000" w:firstRow="0" w:lastRow="0" w:firstColumn="0" w:lastColumn="0" w:noHBand="0" w:noVBand="0"/>
      </w:tblPr>
      <w:tblGrid>
        <w:gridCol w:w="2664"/>
        <w:gridCol w:w="1267"/>
        <w:gridCol w:w="1268"/>
      </w:tblGrid>
      <w:tr w:rsidR="000712B4" w14:paraId="5BD3CEC5" w14:textId="77777777" w:rsidTr="0006291A">
        <w:tblPrEx>
          <w:tblCellMar>
            <w:top w:w="0" w:type="dxa"/>
            <w:left w:w="0" w:type="dxa"/>
            <w:bottom w:w="0" w:type="dxa"/>
            <w:right w:w="0" w:type="dxa"/>
          </w:tblCellMar>
        </w:tblPrEx>
        <w:trPr>
          <w:trHeight w:hRule="exact" w:val="350"/>
        </w:trPr>
        <w:tc>
          <w:tcPr>
            <w:tcW w:w="2664" w:type="dxa"/>
            <w:tcBorders>
              <w:top w:val="single" w:sz="4" w:space="0" w:color="auto"/>
              <w:left w:val="single" w:sz="4" w:space="0" w:color="auto"/>
              <w:bottom w:val="single" w:sz="4" w:space="0" w:color="auto"/>
              <w:right w:val="single" w:sz="4" w:space="0" w:color="auto"/>
            </w:tcBorders>
            <w:vAlign w:val="center"/>
          </w:tcPr>
          <w:p w14:paraId="40F39731" w14:textId="77777777" w:rsidR="000712B4" w:rsidRDefault="000712B4" w:rsidP="0006291A">
            <w:pPr>
              <w:pStyle w:val="Style1"/>
              <w:kinsoku w:val="0"/>
              <w:overflowPunct w:val="0"/>
              <w:autoSpaceDE/>
              <w:autoSpaceDN/>
              <w:adjustRightInd/>
              <w:spacing w:before="46" w:after="44" w:line="255" w:lineRule="exact"/>
              <w:ind w:left="135"/>
              <w:textAlignment w:val="baseline"/>
              <w:rPr>
                <w:spacing w:val="-4"/>
                <w:szCs w:val="23"/>
              </w:rPr>
            </w:pPr>
            <w:r>
              <w:rPr>
                <w:spacing w:val="-4"/>
                <w:szCs w:val="23"/>
              </w:rPr>
              <w:t>Pyridine liquide anhydre</w:t>
            </w:r>
          </w:p>
        </w:tc>
        <w:tc>
          <w:tcPr>
            <w:tcW w:w="1267" w:type="dxa"/>
            <w:tcBorders>
              <w:top w:val="single" w:sz="4" w:space="0" w:color="auto"/>
              <w:left w:val="single" w:sz="4" w:space="0" w:color="auto"/>
              <w:bottom w:val="single" w:sz="4" w:space="0" w:color="auto"/>
              <w:right w:val="single" w:sz="4" w:space="0" w:color="auto"/>
            </w:tcBorders>
            <w:vAlign w:val="center"/>
          </w:tcPr>
          <w:p w14:paraId="5BFC16D4" w14:textId="77777777" w:rsidR="000712B4" w:rsidRDefault="000712B4" w:rsidP="0006291A">
            <w:pPr>
              <w:pStyle w:val="Style1"/>
              <w:kinsoku w:val="0"/>
              <w:overflowPunct w:val="0"/>
              <w:autoSpaceDE/>
              <w:autoSpaceDN/>
              <w:adjustRightInd/>
              <w:spacing w:before="59" w:after="31" w:line="255" w:lineRule="exact"/>
              <w:jc w:val="center"/>
              <w:textAlignment w:val="baseline"/>
              <w:rPr>
                <w:spacing w:val="-3"/>
                <w:szCs w:val="23"/>
              </w:rPr>
            </w:pPr>
            <w:r>
              <w:rPr>
                <w:spacing w:val="-3"/>
                <w:szCs w:val="23"/>
              </w:rPr>
              <w:t>C</w:t>
            </w:r>
            <w:r>
              <w:rPr>
                <w:spacing w:val="-3"/>
                <w:szCs w:val="17"/>
                <w:vertAlign w:val="subscript"/>
              </w:rPr>
              <w:t>5</w:t>
            </w:r>
            <w:r>
              <w:rPr>
                <w:spacing w:val="-3"/>
                <w:szCs w:val="23"/>
              </w:rPr>
              <w:t>H</w:t>
            </w:r>
            <w:r>
              <w:rPr>
                <w:spacing w:val="-3"/>
                <w:szCs w:val="17"/>
                <w:vertAlign w:val="subscript"/>
              </w:rPr>
              <w:t>5</w:t>
            </w:r>
            <w:r>
              <w:rPr>
                <w:spacing w:val="-3"/>
                <w:szCs w:val="23"/>
              </w:rPr>
              <w:t>N</w:t>
            </w:r>
          </w:p>
        </w:tc>
        <w:tc>
          <w:tcPr>
            <w:tcW w:w="1268" w:type="dxa"/>
            <w:tcBorders>
              <w:top w:val="single" w:sz="4" w:space="0" w:color="auto"/>
              <w:left w:val="single" w:sz="4" w:space="0" w:color="auto"/>
              <w:bottom w:val="single" w:sz="4" w:space="0" w:color="auto"/>
              <w:right w:val="single" w:sz="4" w:space="0" w:color="auto"/>
            </w:tcBorders>
            <w:vAlign w:val="center"/>
          </w:tcPr>
          <w:p w14:paraId="7104AFA9" w14:textId="77777777" w:rsidR="000712B4" w:rsidRDefault="000712B4" w:rsidP="0006291A">
            <w:pPr>
              <w:pStyle w:val="Style1"/>
              <w:kinsoku w:val="0"/>
              <w:overflowPunct w:val="0"/>
              <w:autoSpaceDE/>
              <w:autoSpaceDN/>
              <w:adjustRightInd/>
              <w:spacing w:before="46" w:after="44" w:line="255" w:lineRule="exact"/>
              <w:jc w:val="center"/>
              <w:textAlignment w:val="baseline"/>
              <w:rPr>
                <w:spacing w:val="-15"/>
                <w:szCs w:val="23"/>
              </w:rPr>
            </w:pPr>
            <w:r>
              <w:rPr>
                <w:spacing w:val="-15"/>
                <w:szCs w:val="23"/>
              </w:rPr>
              <w:t>0,978</w:t>
            </w:r>
          </w:p>
        </w:tc>
      </w:tr>
      <w:tr w:rsidR="000712B4" w14:paraId="193BE98C" w14:textId="77777777" w:rsidTr="0006291A">
        <w:tblPrEx>
          <w:tblCellMar>
            <w:top w:w="0" w:type="dxa"/>
            <w:left w:w="0" w:type="dxa"/>
            <w:bottom w:w="0" w:type="dxa"/>
            <w:right w:w="0" w:type="dxa"/>
          </w:tblCellMar>
        </w:tblPrEx>
        <w:trPr>
          <w:trHeight w:hRule="exact" w:val="346"/>
        </w:trPr>
        <w:tc>
          <w:tcPr>
            <w:tcW w:w="2664" w:type="dxa"/>
            <w:tcBorders>
              <w:top w:val="single" w:sz="4" w:space="0" w:color="auto"/>
              <w:left w:val="single" w:sz="4" w:space="0" w:color="auto"/>
              <w:bottom w:val="single" w:sz="4" w:space="0" w:color="auto"/>
              <w:right w:val="single" w:sz="4" w:space="0" w:color="auto"/>
            </w:tcBorders>
            <w:vAlign w:val="center"/>
          </w:tcPr>
          <w:p w14:paraId="67B03674" w14:textId="77777777" w:rsidR="000712B4" w:rsidRDefault="000712B4" w:rsidP="0006291A">
            <w:pPr>
              <w:pStyle w:val="Style1"/>
              <w:kinsoku w:val="0"/>
              <w:overflowPunct w:val="0"/>
              <w:autoSpaceDE/>
              <w:autoSpaceDN/>
              <w:adjustRightInd/>
              <w:spacing w:before="41" w:after="44" w:line="255" w:lineRule="exact"/>
              <w:ind w:left="135"/>
              <w:textAlignment w:val="baseline"/>
              <w:rPr>
                <w:spacing w:val="-7"/>
                <w:szCs w:val="23"/>
              </w:rPr>
            </w:pPr>
            <w:r>
              <w:rPr>
                <w:spacing w:val="-7"/>
                <w:szCs w:val="23"/>
              </w:rPr>
              <w:t>Méthanol anhydre</w:t>
            </w:r>
          </w:p>
        </w:tc>
        <w:tc>
          <w:tcPr>
            <w:tcW w:w="1267" w:type="dxa"/>
            <w:tcBorders>
              <w:top w:val="single" w:sz="4" w:space="0" w:color="auto"/>
              <w:left w:val="single" w:sz="4" w:space="0" w:color="auto"/>
              <w:bottom w:val="single" w:sz="4" w:space="0" w:color="auto"/>
              <w:right w:val="single" w:sz="4" w:space="0" w:color="auto"/>
            </w:tcBorders>
            <w:vAlign w:val="center"/>
          </w:tcPr>
          <w:p w14:paraId="6E25E6A4" w14:textId="77777777" w:rsidR="000712B4" w:rsidRDefault="000712B4" w:rsidP="0006291A">
            <w:pPr>
              <w:pStyle w:val="Style1"/>
              <w:kinsoku w:val="0"/>
              <w:overflowPunct w:val="0"/>
              <w:autoSpaceDE/>
              <w:autoSpaceDN/>
              <w:adjustRightInd/>
              <w:spacing w:before="47" w:after="38" w:line="255" w:lineRule="exact"/>
              <w:jc w:val="center"/>
              <w:textAlignment w:val="baseline"/>
              <w:rPr>
                <w:spacing w:val="-7"/>
                <w:szCs w:val="23"/>
              </w:rPr>
            </w:pPr>
            <w:r>
              <w:rPr>
                <w:spacing w:val="-7"/>
                <w:szCs w:val="23"/>
              </w:rPr>
              <w:t>CH</w:t>
            </w:r>
            <w:r>
              <w:rPr>
                <w:spacing w:val="-7"/>
                <w:szCs w:val="17"/>
                <w:vertAlign w:val="subscript"/>
              </w:rPr>
              <w:t>3</w:t>
            </w:r>
            <w:r>
              <w:rPr>
                <w:spacing w:val="-7"/>
                <w:szCs w:val="23"/>
              </w:rPr>
              <w:t>OH</w:t>
            </w:r>
          </w:p>
        </w:tc>
        <w:tc>
          <w:tcPr>
            <w:tcW w:w="1268" w:type="dxa"/>
            <w:tcBorders>
              <w:top w:val="single" w:sz="4" w:space="0" w:color="auto"/>
              <w:left w:val="single" w:sz="4" w:space="0" w:color="auto"/>
              <w:bottom w:val="single" w:sz="4" w:space="0" w:color="auto"/>
              <w:right w:val="single" w:sz="4" w:space="0" w:color="auto"/>
            </w:tcBorders>
            <w:vAlign w:val="center"/>
          </w:tcPr>
          <w:p w14:paraId="3F0E0E00" w14:textId="77777777" w:rsidR="000712B4" w:rsidRDefault="000712B4" w:rsidP="0006291A">
            <w:pPr>
              <w:pStyle w:val="Style1"/>
              <w:kinsoku w:val="0"/>
              <w:overflowPunct w:val="0"/>
              <w:autoSpaceDE/>
              <w:autoSpaceDN/>
              <w:adjustRightInd/>
              <w:spacing w:before="41" w:after="44" w:line="255" w:lineRule="exact"/>
              <w:jc w:val="center"/>
              <w:textAlignment w:val="baseline"/>
              <w:rPr>
                <w:spacing w:val="-16"/>
                <w:szCs w:val="23"/>
              </w:rPr>
            </w:pPr>
            <w:r>
              <w:rPr>
                <w:spacing w:val="-16"/>
                <w:szCs w:val="23"/>
              </w:rPr>
              <w:t>0,791</w:t>
            </w:r>
          </w:p>
        </w:tc>
      </w:tr>
      <w:tr w:rsidR="000712B4" w14:paraId="395BF33B" w14:textId="77777777" w:rsidTr="0006291A">
        <w:tblPrEx>
          <w:tblCellMar>
            <w:top w:w="0" w:type="dxa"/>
            <w:left w:w="0" w:type="dxa"/>
            <w:bottom w:w="0" w:type="dxa"/>
            <w:right w:w="0" w:type="dxa"/>
          </w:tblCellMar>
        </w:tblPrEx>
        <w:trPr>
          <w:trHeight w:hRule="exact" w:val="355"/>
        </w:trPr>
        <w:tc>
          <w:tcPr>
            <w:tcW w:w="2664" w:type="dxa"/>
            <w:tcBorders>
              <w:top w:val="single" w:sz="4" w:space="0" w:color="auto"/>
              <w:left w:val="single" w:sz="4" w:space="0" w:color="auto"/>
              <w:bottom w:val="single" w:sz="4" w:space="0" w:color="auto"/>
              <w:right w:val="single" w:sz="4" w:space="0" w:color="auto"/>
            </w:tcBorders>
            <w:vAlign w:val="center"/>
          </w:tcPr>
          <w:p w14:paraId="2A7B67A4" w14:textId="77777777" w:rsidR="000712B4" w:rsidRDefault="000712B4" w:rsidP="0006291A">
            <w:pPr>
              <w:pStyle w:val="Style1"/>
              <w:kinsoku w:val="0"/>
              <w:overflowPunct w:val="0"/>
              <w:autoSpaceDE/>
              <w:autoSpaceDN/>
              <w:adjustRightInd/>
              <w:spacing w:before="41" w:after="58" w:line="255" w:lineRule="exact"/>
              <w:ind w:left="135"/>
              <w:textAlignment w:val="baseline"/>
              <w:rPr>
                <w:spacing w:val="-9"/>
                <w:szCs w:val="23"/>
              </w:rPr>
            </w:pPr>
            <w:r>
              <w:rPr>
                <w:spacing w:val="-9"/>
                <w:szCs w:val="23"/>
              </w:rPr>
              <w:t>Dioxyde de soufre gazeux</w:t>
            </w:r>
          </w:p>
        </w:tc>
        <w:tc>
          <w:tcPr>
            <w:tcW w:w="1267" w:type="dxa"/>
            <w:tcBorders>
              <w:top w:val="single" w:sz="4" w:space="0" w:color="auto"/>
              <w:left w:val="single" w:sz="4" w:space="0" w:color="auto"/>
              <w:bottom w:val="single" w:sz="4" w:space="0" w:color="auto"/>
              <w:right w:val="single" w:sz="4" w:space="0" w:color="auto"/>
            </w:tcBorders>
            <w:vAlign w:val="center"/>
          </w:tcPr>
          <w:p w14:paraId="5B43D8DE" w14:textId="77777777" w:rsidR="000712B4" w:rsidRDefault="000712B4" w:rsidP="0006291A">
            <w:pPr>
              <w:pStyle w:val="Style1"/>
              <w:kinsoku w:val="0"/>
              <w:overflowPunct w:val="0"/>
              <w:autoSpaceDE/>
              <w:autoSpaceDN/>
              <w:adjustRightInd/>
              <w:spacing w:before="52" w:after="47" w:line="255" w:lineRule="exact"/>
              <w:jc w:val="center"/>
              <w:textAlignment w:val="baseline"/>
              <w:rPr>
                <w:spacing w:val="-16"/>
                <w:szCs w:val="17"/>
              </w:rPr>
            </w:pPr>
            <w:r>
              <w:rPr>
                <w:spacing w:val="-16"/>
                <w:szCs w:val="23"/>
              </w:rPr>
              <w:t>SO</w:t>
            </w:r>
            <w:r>
              <w:rPr>
                <w:spacing w:val="-16"/>
                <w:szCs w:val="17"/>
                <w:vertAlign w:val="subscript"/>
              </w:rPr>
              <w:t>2</w:t>
            </w:r>
          </w:p>
        </w:tc>
        <w:tc>
          <w:tcPr>
            <w:tcW w:w="1268" w:type="dxa"/>
            <w:tcBorders>
              <w:top w:val="single" w:sz="4" w:space="0" w:color="auto"/>
              <w:left w:val="single" w:sz="4" w:space="0" w:color="auto"/>
              <w:bottom w:val="single" w:sz="4" w:space="0" w:color="auto"/>
              <w:right w:val="single" w:sz="4" w:space="0" w:color="auto"/>
            </w:tcBorders>
            <w:vAlign w:val="center"/>
          </w:tcPr>
          <w:p w14:paraId="54E391C4" w14:textId="77777777" w:rsidR="000712B4" w:rsidRDefault="000712B4" w:rsidP="0006291A">
            <w:pPr>
              <w:pStyle w:val="Style1"/>
              <w:kinsoku w:val="0"/>
              <w:overflowPunct w:val="0"/>
              <w:autoSpaceDE/>
              <w:autoSpaceDN/>
              <w:adjustRightInd/>
              <w:spacing w:after="38" w:line="295" w:lineRule="exact"/>
              <w:jc w:val="center"/>
              <w:textAlignment w:val="baseline"/>
              <w:rPr>
                <w:spacing w:val="-2"/>
                <w:szCs w:val="21"/>
                <w:vertAlign w:val="superscript"/>
              </w:rPr>
            </w:pPr>
            <w:r>
              <w:rPr>
                <w:spacing w:val="-2"/>
                <w:szCs w:val="21"/>
              </w:rPr>
              <w:t>2</w:t>
            </w:r>
            <w:r>
              <w:rPr>
                <w:spacing w:val="-2"/>
                <w:szCs w:val="23"/>
              </w:rPr>
              <w:t>,</w:t>
            </w:r>
            <w:r>
              <w:rPr>
                <w:spacing w:val="-2"/>
                <w:szCs w:val="21"/>
              </w:rPr>
              <w:t>77</w:t>
            </w:r>
            <w:r>
              <w:rPr>
                <w:spacing w:val="-2"/>
                <w:szCs w:val="23"/>
              </w:rPr>
              <w:t>.</w:t>
            </w:r>
            <w:r>
              <w:rPr>
                <w:spacing w:val="-2"/>
                <w:szCs w:val="21"/>
              </w:rPr>
              <w:t>10</w:t>
            </w:r>
            <w:r>
              <w:rPr>
                <w:b/>
                <w:bCs/>
                <w:spacing w:val="-2"/>
                <w:szCs w:val="21"/>
                <w:vertAlign w:val="superscript"/>
              </w:rPr>
              <w:t>−</w:t>
            </w:r>
            <w:r>
              <w:rPr>
                <w:spacing w:val="-2"/>
                <w:szCs w:val="21"/>
                <w:vertAlign w:val="superscript"/>
              </w:rPr>
              <w:t>3</w:t>
            </w:r>
          </w:p>
        </w:tc>
      </w:tr>
    </w:tbl>
    <w:p w14:paraId="178EEEE9" w14:textId="77777777" w:rsidR="000712B4" w:rsidRDefault="000712B4" w:rsidP="000712B4">
      <w:pPr>
        <w:spacing w:after="305" w:line="20" w:lineRule="exact"/>
        <w:ind w:left="1939" w:right="1982"/>
      </w:pPr>
    </w:p>
    <w:p w14:paraId="32ACEBCF" w14:textId="77777777" w:rsidR="000712B4" w:rsidRDefault="000712B4" w:rsidP="000712B4">
      <w:pPr>
        <w:pStyle w:val="Style1"/>
        <w:kinsoku w:val="0"/>
        <w:overflowPunct w:val="0"/>
        <w:autoSpaceDE/>
        <w:autoSpaceDN/>
        <w:adjustRightInd/>
        <w:spacing w:line="437" w:lineRule="exact"/>
        <w:ind w:left="289" w:right="2517"/>
        <w:textAlignment w:val="baseline"/>
        <w:rPr>
          <w:szCs w:val="23"/>
        </w:rPr>
      </w:pPr>
      <w:r>
        <w:rPr>
          <w:szCs w:val="23"/>
        </w:rPr>
        <w:t>Produits de solubilité : p</w:t>
      </w:r>
      <w:r>
        <w:rPr>
          <w:i/>
          <w:iCs/>
        </w:rPr>
        <w:t>K</w:t>
      </w:r>
      <w:r>
        <w:rPr>
          <w:i/>
          <w:iCs/>
          <w:vertAlign w:val="subscript"/>
        </w:rPr>
        <w:t>s</w:t>
      </w:r>
      <w:r>
        <w:rPr>
          <w:szCs w:val="23"/>
        </w:rPr>
        <w:t>(AgCl) = </w:t>
      </w:r>
      <w:r>
        <w:rPr>
          <w:szCs w:val="21"/>
        </w:rPr>
        <w:t>9</w:t>
      </w:r>
      <w:r>
        <w:rPr>
          <w:szCs w:val="23"/>
        </w:rPr>
        <w:t>,</w:t>
      </w:r>
      <w:r>
        <w:rPr>
          <w:szCs w:val="21"/>
        </w:rPr>
        <w:t>75</w:t>
      </w:r>
      <w:r>
        <w:rPr>
          <w:szCs w:val="23"/>
        </w:rPr>
        <w:t>; p</w:t>
      </w:r>
      <w:r>
        <w:rPr>
          <w:i/>
          <w:iCs/>
        </w:rPr>
        <w:t>K</w:t>
      </w:r>
      <w:r>
        <w:rPr>
          <w:i/>
          <w:iCs/>
          <w:vertAlign w:val="subscript"/>
        </w:rPr>
        <w:t>s</w:t>
      </w:r>
      <w:r>
        <w:rPr>
          <w:szCs w:val="23"/>
        </w:rPr>
        <w:t>(AgSCN) = </w:t>
      </w:r>
      <w:r>
        <w:rPr>
          <w:szCs w:val="21"/>
        </w:rPr>
        <w:t>11</w:t>
      </w:r>
      <w:r>
        <w:rPr>
          <w:szCs w:val="23"/>
        </w:rPr>
        <w:t>,</w:t>
      </w:r>
      <w:r>
        <w:rPr>
          <w:szCs w:val="21"/>
        </w:rPr>
        <w:t>9</w:t>
      </w:r>
      <w:r>
        <w:rPr>
          <w:szCs w:val="23"/>
        </w:rPr>
        <w:t xml:space="preserve">. Constante de formation globale : </w:t>
      </w:r>
      <w:r>
        <w:rPr>
          <w:i/>
          <w:iCs/>
        </w:rPr>
        <w:t>β</w:t>
      </w:r>
      <w:r>
        <w:rPr>
          <w:szCs w:val="21"/>
        </w:rPr>
        <w:t>([</w:t>
      </w:r>
      <w:r>
        <w:rPr>
          <w:szCs w:val="23"/>
        </w:rPr>
        <w:t>Fe(SCN)</w:t>
      </w:r>
      <w:r>
        <w:rPr>
          <w:szCs w:val="21"/>
        </w:rPr>
        <w:t>]</w:t>
      </w:r>
      <w:r>
        <w:rPr>
          <w:szCs w:val="21"/>
          <w:vertAlign w:val="superscript"/>
        </w:rPr>
        <w:t>2</w:t>
      </w:r>
      <w:r>
        <w:rPr>
          <w:szCs w:val="17"/>
          <w:vertAlign w:val="superscript"/>
        </w:rPr>
        <w:t>+</w:t>
      </w:r>
      <w:r>
        <w:rPr>
          <w:szCs w:val="21"/>
        </w:rPr>
        <w:t>) = 2</w:t>
      </w:r>
      <w:r>
        <w:rPr>
          <w:szCs w:val="23"/>
        </w:rPr>
        <w:t>,</w:t>
      </w:r>
      <w:r>
        <w:rPr>
          <w:szCs w:val="21"/>
        </w:rPr>
        <w:t>2</w:t>
      </w:r>
      <w:r>
        <w:rPr>
          <w:szCs w:val="23"/>
        </w:rPr>
        <w:t>.</w:t>
      </w:r>
    </w:p>
    <w:p w14:paraId="2EDF2FA7" w14:textId="77777777" w:rsidR="000712B4" w:rsidRDefault="000712B4" w:rsidP="000712B4">
      <w:pPr>
        <w:pStyle w:val="Style1"/>
        <w:kinsoku w:val="0"/>
        <w:overflowPunct w:val="0"/>
        <w:autoSpaceDE/>
        <w:autoSpaceDN/>
        <w:adjustRightInd/>
        <w:spacing w:line="437" w:lineRule="exact"/>
        <w:ind w:left="289" w:right="48"/>
        <w:textAlignment w:val="baseline"/>
        <w:rPr>
          <w:szCs w:val="23"/>
        </w:rPr>
      </w:pPr>
      <w:r>
        <w:rPr>
          <w:szCs w:val="23"/>
        </w:rPr>
        <w:t>Le complexe [Fe(SCN)]</w:t>
      </w:r>
      <w:r>
        <w:rPr>
          <w:szCs w:val="23"/>
          <w:vertAlign w:val="superscript"/>
        </w:rPr>
        <w:t>2</w:t>
      </w:r>
      <w:r>
        <w:rPr>
          <w:szCs w:val="17"/>
          <w:vertAlign w:val="superscript"/>
        </w:rPr>
        <w:t>+</w:t>
      </w:r>
      <w:r>
        <w:rPr>
          <w:szCs w:val="23"/>
        </w:rPr>
        <w:t xml:space="preserve"> en solution aqueuse est de couleur rouge sang.</w:t>
      </w:r>
    </w:p>
    <w:p w14:paraId="7B193631" w14:textId="24522FA7" w:rsidR="000712B4" w:rsidRDefault="000712B4" w:rsidP="00BD45E0">
      <w:pPr>
        <w:pStyle w:val="Style1"/>
        <w:kinsoku w:val="0"/>
        <w:overflowPunct w:val="0"/>
        <w:autoSpaceDE/>
        <w:autoSpaceDN/>
        <w:adjustRightInd/>
        <w:spacing w:before="148" w:line="590" w:lineRule="exact"/>
        <w:ind w:right="-1"/>
        <w:textAlignment w:val="baseline"/>
        <w:rPr>
          <w:b/>
          <w:bCs/>
          <w:szCs w:val="21"/>
        </w:rPr>
      </w:pPr>
      <w:r>
        <w:rPr>
          <w:b/>
          <w:bCs/>
          <w:szCs w:val="22"/>
        </w:rPr>
        <w:t xml:space="preserve">1.1 Dosages dans les liquides ioniques </w:t>
      </w:r>
      <w:r>
        <w:rPr>
          <w:b/>
          <w:bCs/>
          <w:szCs w:val="21"/>
        </w:rPr>
        <w:t xml:space="preserve">Dosage des ions </w:t>
      </w:r>
      <w:r w:rsidR="00BD45E0">
        <w:rPr>
          <w:b/>
          <w:bCs/>
          <w:szCs w:val="21"/>
        </w:rPr>
        <w:t>h</w:t>
      </w:r>
      <w:r>
        <w:rPr>
          <w:b/>
          <w:bCs/>
          <w:szCs w:val="21"/>
        </w:rPr>
        <w:t>alogénures</w:t>
      </w:r>
    </w:p>
    <w:p w14:paraId="3876092A" w14:textId="3EDE4806" w:rsidR="000712B4" w:rsidRPr="000712B4" w:rsidRDefault="000712B4" w:rsidP="000712B4">
      <w:pPr>
        <w:pStyle w:val="Style1"/>
        <w:kinsoku w:val="0"/>
        <w:overflowPunct w:val="0"/>
        <w:autoSpaceDE/>
        <w:autoSpaceDN/>
        <w:adjustRightInd/>
        <w:spacing w:before="329" w:line="270" w:lineRule="exact"/>
        <w:ind w:firstLine="288"/>
        <w:jc w:val="both"/>
        <w:textAlignment w:val="baseline"/>
        <w:rPr>
          <w:spacing w:val="-8"/>
          <w:szCs w:val="23"/>
        </w:rPr>
      </w:pPr>
      <w:r>
        <w:rPr>
          <w:spacing w:val="-8"/>
          <w:szCs w:val="23"/>
        </w:rPr>
        <w:t>Lors de la synthèse des liquides ioniques, il arrive qu’un échange d’anion soit effectué. Il peut être alors nécessaire de connaître la quantité résiduelle d’ions halogénures. Quantitativement, les ions chlorure sont dosés dans les liquides ioniques par la méthode de CHARPENTIER-VOLHARD. Le mode opératoire est le suivant : à une prise d’essai de 10,0 mL du liquide ionique chlorure de 1-butyl-3-méthylimidazolium (noté [BMIM</w:t>
      </w:r>
      <w:r>
        <w:rPr>
          <w:spacing w:val="-8"/>
          <w:szCs w:val="17"/>
          <w:vertAlign w:val="superscript"/>
        </w:rPr>
        <w:t>+</w:t>
      </w:r>
      <w:r>
        <w:rPr>
          <w:spacing w:val="-8"/>
          <w:szCs w:val="23"/>
        </w:rPr>
        <w:t>,Cl</w:t>
      </w:r>
      <w:r>
        <w:rPr>
          <w:b/>
          <w:bCs/>
          <w:spacing w:val="-8"/>
          <w:szCs w:val="23"/>
          <w:vertAlign w:val="superscript"/>
        </w:rPr>
        <w:t>−</w:t>
      </w:r>
      <w:r>
        <w:rPr>
          <w:spacing w:val="-8"/>
          <w:szCs w:val="23"/>
        </w:rPr>
        <w:t>]) sont ajoutés 15,0 mL d’une solution de nitrate d’argent à 0,1 mol.L</w:t>
      </w:r>
      <w:r>
        <w:rPr>
          <w:b/>
          <w:bCs/>
          <w:spacing w:val="-8"/>
          <w:szCs w:val="23"/>
          <w:vertAlign w:val="superscript"/>
        </w:rPr>
        <w:t>−</w:t>
      </w:r>
      <w:r>
        <w:rPr>
          <w:spacing w:val="-8"/>
          <w:szCs w:val="23"/>
          <w:vertAlign w:val="superscript"/>
        </w:rPr>
        <w:t>1</w:t>
      </w:r>
      <w:r>
        <w:rPr>
          <w:spacing w:val="-8"/>
          <w:szCs w:val="23"/>
        </w:rPr>
        <w:t>, provoquant la formation d’un solide blanc qui est éliminé par filtration. Le filtrat obtenu est dosé par une solution de thiocyanate de potassium (K</w:t>
      </w:r>
      <w:r>
        <w:rPr>
          <w:spacing w:val="-8"/>
          <w:szCs w:val="17"/>
          <w:vertAlign w:val="superscript"/>
        </w:rPr>
        <w:t>+</w:t>
      </w:r>
      <w:r>
        <w:rPr>
          <w:spacing w:val="-8"/>
          <w:szCs w:val="23"/>
        </w:rPr>
        <w:t>, SCN</w:t>
      </w:r>
      <w:r>
        <w:rPr>
          <w:b/>
          <w:bCs/>
          <w:spacing w:val="-8"/>
          <w:szCs w:val="23"/>
          <w:vertAlign w:val="superscript"/>
        </w:rPr>
        <w:t>−</w:t>
      </w:r>
      <w:r>
        <w:rPr>
          <w:spacing w:val="-8"/>
          <w:szCs w:val="23"/>
        </w:rPr>
        <w:t>)</w:t>
      </w:r>
      <w:r>
        <w:rPr>
          <w:noProof/>
        </w:rPr>
        <mc:AlternateContent>
          <mc:Choice Requires="wps">
            <w:drawing>
              <wp:anchor distT="0" distB="0" distL="0" distR="0" simplePos="0" relativeHeight="251659264" behindDoc="0" locked="0" layoutInCell="0" allowOverlap="1" wp14:anchorId="34128C7C" wp14:editId="608060AC">
                <wp:simplePos x="0" y="0"/>
                <wp:positionH relativeFrom="page">
                  <wp:posOffset>3686175</wp:posOffset>
                </wp:positionH>
                <wp:positionV relativeFrom="page">
                  <wp:posOffset>9399270</wp:posOffset>
                </wp:positionV>
                <wp:extent cx="186690" cy="170180"/>
                <wp:effectExtent l="0" t="7620" r="3810" b="3175"/>
                <wp:wrapSquare wrapText="bothSides"/>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83BAD3" w14:textId="77777777" w:rsidR="000712B4" w:rsidRDefault="000712B4" w:rsidP="000712B4">
                            <w:pPr>
                              <w:pStyle w:val="Style1"/>
                              <w:kinsoku w:val="0"/>
                              <w:overflowPunct w:val="0"/>
                              <w:autoSpaceDE/>
                              <w:autoSpaceDN/>
                              <w:adjustRightInd/>
                              <w:spacing w:before="14" w:line="246" w:lineRule="exact"/>
                              <w:textAlignment w:val="baseline"/>
                              <w:rPr>
                                <w:rFonts w:ascii="Arial" w:hAnsi="Arial" w:cs="Arial"/>
                                <w:sz w:val="23"/>
                                <w:szCs w:val="23"/>
                              </w:rPr>
                            </w:pPr>
                            <w:r>
                              <w:rPr>
                                <w:rFonts w:ascii="Arial" w:hAnsi="Arial" w:cs="Arial"/>
                                <w:sz w:val="23"/>
                                <w:szCs w:val="2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28C7C" id="Zone de texte 25" o:spid="_x0000_s1027" type="#_x0000_t202" style="position:absolute;left:0;text-align:left;margin-left:290.25pt;margin-top:740.1pt;width:14.7pt;height:13.4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" o:allowincell="f" stroked="f">
                <v:fill opacity="0"/>
                <v:textbox inset="0,0,0,0">
                  <w:txbxContent>
                    <w:p w14:paraId="0B83BAD3" w14:textId="77777777" w:rsidR="000712B4" w:rsidRDefault="000712B4" w:rsidP="000712B4">
                      <w:pPr>
                        <w:pStyle w:val="Style1"/>
                        <w:kinsoku w:val="0"/>
                        <w:overflowPunct w:val="0"/>
                        <w:autoSpaceDE/>
                        <w:autoSpaceDN/>
                        <w:adjustRightInd/>
                        <w:spacing w:before="14" w:line="246" w:lineRule="exact"/>
                        <w:textAlignment w:val="baseline"/>
                        <w:rPr>
                          <w:rFonts w:ascii="Arial" w:hAnsi="Arial" w:cs="Arial"/>
                          <w:sz w:val="23"/>
                          <w:szCs w:val="23"/>
                        </w:rPr>
                      </w:pPr>
                      <w:r>
                        <w:rPr>
                          <w:rFonts w:ascii="Arial" w:hAnsi="Arial" w:cs="Arial"/>
                          <w:sz w:val="23"/>
                          <w:szCs w:val="23"/>
                        </w:rPr>
                        <w:t>3</w:t>
                      </w:r>
                    </w:p>
                  </w:txbxContent>
                </v:textbox>
                <w10:wrap type="square" anchorx="page" anchory="page"/>
              </v:shape>
            </w:pict>
          </mc:Fallback>
        </mc:AlternateContent>
      </w:r>
      <w:r>
        <w:rPr>
          <w:spacing w:val="-8"/>
          <w:szCs w:val="23"/>
        </w:rPr>
        <w:t xml:space="preserve"> </w:t>
      </w:r>
      <w:r>
        <w:rPr>
          <w:spacing w:val="-6"/>
          <w:szCs w:val="23"/>
        </w:rPr>
        <w:t>à 0,05 mol.L</w:t>
      </w:r>
      <w:r>
        <w:rPr>
          <w:b/>
          <w:bCs/>
          <w:spacing w:val="-6"/>
          <w:szCs w:val="23"/>
          <w:vertAlign w:val="superscript"/>
        </w:rPr>
        <w:t>−</w:t>
      </w:r>
      <w:r>
        <w:rPr>
          <w:spacing w:val="-6"/>
          <w:szCs w:val="23"/>
          <w:vertAlign w:val="superscript"/>
        </w:rPr>
        <w:t>1</w:t>
      </w:r>
      <w:r>
        <w:rPr>
          <w:spacing w:val="-6"/>
          <w:szCs w:val="23"/>
        </w:rPr>
        <w:t xml:space="preserve"> en milieu acide nitrique et en présence de quelques gouttes d’une solution de fer (III) ((NH</w:t>
      </w:r>
      <w:r>
        <w:rPr>
          <w:spacing w:val="-6"/>
          <w:szCs w:val="17"/>
          <w:vertAlign w:val="subscript"/>
        </w:rPr>
        <w:t>4</w:t>
      </w:r>
      <w:r>
        <w:rPr>
          <w:spacing w:val="-6"/>
          <w:szCs w:val="23"/>
        </w:rPr>
        <w:t>)Fe(SO</w:t>
      </w:r>
      <w:r>
        <w:rPr>
          <w:spacing w:val="-6"/>
          <w:szCs w:val="17"/>
          <w:vertAlign w:val="subscript"/>
        </w:rPr>
        <w:t>4</w:t>
      </w:r>
      <w:r>
        <w:rPr>
          <w:spacing w:val="-6"/>
          <w:szCs w:val="21"/>
        </w:rPr>
        <w:t>)</w:t>
      </w:r>
      <w:r>
        <w:rPr>
          <w:spacing w:val="-6"/>
          <w:szCs w:val="17"/>
          <w:vertAlign w:val="subscript"/>
        </w:rPr>
        <w:t>2</w:t>
      </w:r>
      <w:r>
        <w:rPr>
          <w:spacing w:val="-6"/>
          <w:szCs w:val="17"/>
        </w:rPr>
        <w:t xml:space="preserve"> </w:t>
      </w:r>
      <w:r>
        <w:rPr>
          <w:spacing w:val="-6"/>
          <w:szCs w:val="23"/>
        </w:rPr>
        <w:t>dans l’eau). Un volume équivalent de 17,2 mL est obtenu.</w:t>
      </w:r>
    </w:p>
    <w:p w14:paraId="234A690D" w14:textId="77777777" w:rsidR="000712B4" w:rsidRDefault="000712B4" w:rsidP="000712B4">
      <w:pPr>
        <w:pStyle w:val="Style1"/>
        <w:kinsoku w:val="0"/>
        <w:overflowPunct w:val="0"/>
        <w:autoSpaceDE/>
        <w:autoSpaceDN/>
        <w:adjustRightInd/>
        <w:spacing w:before="276" w:line="274" w:lineRule="exact"/>
        <w:jc w:val="both"/>
        <w:textAlignment w:val="baseline"/>
        <w:rPr>
          <w:szCs w:val="23"/>
        </w:rPr>
      </w:pPr>
      <w:r>
        <w:rPr>
          <w:b/>
          <w:bCs/>
          <w:szCs w:val="23"/>
        </w:rPr>
        <w:t>1.1.1</w:t>
      </w:r>
      <w:r>
        <w:rPr>
          <w:szCs w:val="23"/>
        </w:rPr>
        <w:t xml:space="preserve"> Quelle est la nature du solide blanc précipitant après ajout de la solution de nitrate d’ar</w:t>
      </w:r>
      <w:r>
        <w:rPr>
          <w:szCs w:val="23"/>
        </w:rPr>
        <w:softHyphen/>
        <w:t>gent ?</w:t>
      </w:r>
    </w:p>
    <w:p w14:paraId="78ACE006" w14:textId="77777777" w:rsidR="000712B4" w:rsidRDefault="000712B4" w:rsidP="000712B4">
      <w:pPr>
        <w:pStyle w:val="Style1"/>
        <w:kinsoku w:val="0"/>
        <w:overflowPunct w:val="0"/>
        <w:autoSpaceDE/>
        <w:autoSpaceDN/>
        <w:adjustRightInd/>
        <w:spacing w:before="288" w:line="272" w:lineRule="exact"/>
        <w:jc w:val="both"/>
        <w:textAlignment w:val="baseline"/>
        <w:rPr>
          <w:szCs w:val="23"/>
        </w:rPr>
      </w:pPr>
      <w:r>
        <w:rPr>
          <w:b/>
          <w:bCs/>
          <w:szCs w:val="23"/>
        </w:rPr>
        <w:t>1.1.2</w:t>
      </w:r>
      <w:r>
        <w:rPr>
          <w:szCs w:val="23"/>
        </w:rPr>
        <w:t xml:space="preserve"> En supposant que les ions Ag</w:t>
      </w:r>
      <w:r>
        <w:rPr>
          <w:szCs w:val="17"/>
          <w:vertAlign w:val="superscript"/>
        </w:rPr>
        <w:t>+</w:t>
      </w:r>
      <w:r>
        <w:rPr>
          <w:szCs w:val="17"/>
        </w:rPr>
        <w:t xml:space="preserve"> </w:t>
      </w:r>
      <w:r>
        <w:rPr>
          <w:szCs w:val="23"/>
        </w:rPr>
        <w:t>sont introduits en excès, écrire l’équation de la réaction de titrage et calculer sa constante d’équilibre. Commenter. Avec quelle verrerie la solution de nitrate d’argent doit-elle être prélevée ?</w:t>
      </w:r>
    </w:p>
    <w:p w14:paraId="1B1B5140" w14:textId="77777777" w:rsidR="000712B4" w:rsidRDefault="000712B4" w:rsidP="000712B4">
      <w:pPr>
        <w:pStyle w:val="Style1"/>
        <w:kinsoku w:val="0"/>
        <w:overflowPunct w:val="0"/>
        <w:autoSpaceDE/>
        <w:autoSpaceDN/>
        <w:adjustRightInd/>
        <w:spacing w:before="312" w:line="254" w:lineRule="exact"/>
        <w:textAlignment w:val="baseline"/>
        <w:rPr>
          <w:spacing w:val="-7"/>
          <w:szCs w:val="23"/>
        </w:rPr>
      </w:pPr>
      <w:r>
        <w:rPr>
          <w:b/>
          <w:bCs/>
          <w:spacing w:val="-7"/>
          <w:szCs w:val="23"/>
        </w:rPr>
        <w:t>1.1.3</w:t>
      </w:r>
      <w:r>
        <w:rPr>
          <w:spacing w:val="-7"/>
          <w:szCs w:val="23"/>
        </w:rPr>
        <w:t xml:space="preserve"> Comment l’équivalence est-elle détectée ?</w:t>
      </w:r>
    </w:p>
    <w:p w14:paraId="0208BC86" w14:textId="77777777" w:rsidR="000712B4" w:rsidRDefault="000712B4" w:rsidP="000712B4">
      <w:pPr>
        <w:pStyle w:val="Style1"/>
        <w:kinsoku w:val="0"/>
        <w:overflowPunct w:val="0"/>
        <w:autoSpaceDE/>
        <w:autoSpaceDN/>
        <w:adjustRightInd/>
        <w:spacing w:before="308" w:line="254" w:lineRule="exact"/>
        <w:textAlignment w:val="baseline"/>
        <w:rPr>
          <w:spacing w:val="-5"/>
          <w:szCs w:val="23"/>
        </w:rPr>
      </w:pPr>
      <w:r>
        <w:rPr>
          <w:b/>
          <w:bCs/>
          <w:spacing w:val="-5"/>
          <w:szCs w:val="23"/>
        </w:rPr>
        <w:t>1.1.4</w:t>
      </w:r>
      <w:r>
        <w:rPr>
          <w:spacing w:val="-5"/>
          <w:szCs w:val="23"/>
        </w:rPr>
        <w:t xml:space="preserve"> En déduire la concentration molaire résiduelle en ions chlorure dans la prise d’essai.</w:t>
      </w:r>
    </w:p>
    <w:p w14:paraId="243523F8" w14:textId="77777777" w:rsidR="000712B4" w:rsidRDefault="000712B4" w:rsidP="000712B4">
      <w:pPr>
        <w:pStyle w:val="Style1"/>
        <w:kinsoku w:val="0"/>
        <w:overflowPunct w:val="0"/>
        <w:autoSpaceDE/>
        <w:autoSpaceDN/>
        <w:adjustRightInd/>
        <w:spacing w:before="291" w:line="239" w:lineRule="exact"/>
        <w:jc w:val="both"/>
        <w:textAlignment w:val="baseline"/>
        <w:rPr>
          <w:spacing w:val="-6"/>
          <w:szCs w:val="23"/>
        </w:rPr>
      </w:pPr>
      <w:r>
        <w:rPr>
          <w:b/>
          <w:bCs/>
          <w:spacing w:val="-6"/>
          <w:szCs w:val="23"/>
        </w:rPr>
        <w:t>1.1.5</w:t>
      </w:r>
      <w:r>
        <w:rPr>
          <w:spacing w:val="-6"/>
          <w:szCs w:val="23"/>
        </w:rPr>
        <w:t xml:space="preserve"> Pourquoi est-il nécessaire de filtrer le solide blanc ? Écrire l’équation bilan de la réaction susceptible de se réaliser et calculer sa constante d’équilibre. Effectuer le titrage sans l’éliminer conduirait-il à surestimer ou sous-estimer la quantité d’ions chlorure ?</w:t>
      </w:r>
    </w:p>
    <w:p w14:paraId="25B198EB" w14:textId="77777777" w:rsidR="000712B4" w:rsidRDefault="000712B4" w:rsidP="000712B4">
      <w:pPr>
        <w:pStyle w:val="Style1"/>
        <w:kinsoku w:val="0"/>
        <w:overflowPunct w:val="0"/>
        <w:autoSpaceDE/>
        <w:autoSpaceDN/>
        <w:adjustRightInd/>
        <w:spacing w:line="707" w:lineRule="exact"/>
        <w:ind w:right="-94"/>
        <w:jc w:val="both"/>
        <w:textAlignment w:val="baseline"/>
        <w:rPr>
          <w:szCs w:val="23"/>
        </w:rPr>
      </w:pPr>
      <w:r>
        <w:rPr>
          <w:b/>
          <w:bCs/>
          <w:szCs w:val="23"/>
        </w:rPr>
        <w:t>1.1.6</w:t>
      </w:r>
      <w:r>
        <w:rPr>
          <w:szCs w:val="23"/>
        </w:rPr>
        <w:t xml:space="preserve"> Discuter l’influence de la quantité d’indicateur coloré ajouté sur la précision du</w:t>
      </w:r>
      <w:r>
        <w:rPr>
          <w:rFonts w:ascii="Arial" w:hAnsi="Arial" w:cs="Arial"/>
          <w:szCs w:val="23"/>
        </w:rPr>
        <w:t xml:space="preserve"> </w:t>
      </w:r>
      <w:r>
        <w:rPr>
          <w:szCs w:val="23"/>
        </w:rPr>
        <w:t xml:space="preserve">dosage. </w:t>
      </w:r>
    </w:p>
    <w:p w14:paraId="29444637" w14:textId="77777777" w:rsidR="000712B4" w:rsidRDefault="000712B4" w:rsidP="000712B4">
      <w:pPr>
        <w:pStyle w:val="Style1"/>
        <w:kinsoku w:val="0"/>
        <w:overflowPunct w:val="0"/>
        <w:autoSpaceDE/>
        <w:autoSpaceDN/>
        <w:adjustRightInd/>
        <w:spacing w:line="707" w:lineRule="exact"/>
        <w:ind w:right="216"/>
        <w:jc w:val="both"/>
        <w:textAlignment w:val="baseline"/>
        <w:rPr>
          <w:b/>
          <w:bCs/>
          <w:szCs w:val="23"/>
        </w:rPr>
      </w:pPr>
      <w:r>
        <w:rPr>
          <w:b/>
          <w:bCs/>
          <w:szCs w:val="23"/>
        </w:rPr>
        <w:t>Dosage de l’eau dans un liquide ionique</w:t>
      </w:r>
    </w:p>
    <w:p w14:paraId="3B467376" w14:textId="77777777" w:rsidR="000712B4" w:rsidRDefault="000712B4" w:rsidP="000712B4">
      <w:pPr>
        <w:pStyle w:val="Style1"/>
        <w:kinsoku w:val="0"/>
        <w:overflowPunct w:val="0"/>
        <w:autoSpaceDE/>
        <w:autoSpaceDN/>
        <w:adjustRightInd/>
        <w:spacing w:before="318" w:line="271" w:lineRule="exact"/>
        <w:ind w:firstLine="288"/>
        <w:jc w:val="both"/>
        <w:textAlignment w:val="baseline"/>
        <w:rPr>
          <w:spacing w:val="-8"/>
          <w:szCs w:val="23"/>
        </w:rPr>
      </w:pPr>
      <w:r>
        <w:rPr>
          <w:spacing w:val="-8"/>
          <w:szCs w:val="23"/>
        </w:rPr>
        <w:t>L’eau (provenant de l’atmosphère ou sous-produit de synthèse) modifie les propriétés phy</w:t>
      </w:r>
      <w:r>
        <w:rPr>
          <w:spacing w:val="-8"/>
          <w:szCs w:val="23"/>
        </w:rPr>
        <w:softHyphen/>
        <w:t>siques des liquides ioniques. Cet effet est particulièrement sensible sur la viscosité, ce qui peut poser de nombreux problèmes pour l’homogénéisation des réactions en solvant liquide ionique.</w:t>
      </w:r>
    </w:p>
    <w:p w14:paraId="18C85AA6" w14:textId="77777777" w:rsidR="000712B4" w:rsidRDefault="000712B4" w:rsidP="000712B4">
      <w:pPr>
        <w:pStyle w:val="Style1"/>
        <w:kinsoku w:val="0"/>
        <w:overflowPunct w:val="0"/>
        <w:autoSpaceDE/>
        <w:autoSpaceDN/>
        <w:adjustRightInd/>
        <w:spacing w:before="190" w:line="270" w:lineRule="exact"/>
        <w:ind w:firstLine="288"/>
        <w:jc w:val="both"/>
        <w:textAlignment w:val="baseline"/>
        <w:rPr>
          <w:spacing w:val="-9"/>
          <w:szCs w:val="23"/>
        </w:rPr>
      </w:pPr>
      <w:r>
        <w:rPr>
          <w:spacing w:val="-9"/>
          <w:szCs w:val="23"/>
        </w:rPr>
        <w:t>Une technique de dosage de l’eau, précise et reproductible, a été appliquée à ces composés. Développée en 1935 par un chimiste allemand, la méthode K</w:t>
      </w:r>
      <w:r>
        <w:rPr>
          <w:smallCaps/>
          <w:spacing w:val="-9"/>
          <w:szCs w:val="23"/>
        </w:rPr>
        <w:t>ARL</w:t>
      </w:r>
      <w:r>
        <w:rPr>
          <w:spacing w:val="-9"/>
          <w:szCs w:val="23"/>
        </w:rPr>
        <w:t xml:space="preserve"> FISCHER permet de déterminer la quantité d’eau contenue dans un échantillon quelconque et est particulièrement adaptée aux concentrations de l’ordre du ppm (partie par million).</w:t>
      </w:r>
    </w:p>
    <w:p w14:paraId="594A518B" w14:textId="77777777" w:rsidR="000712B4" w:rsidRDefault="000712B4" w:rsidP="000712B4">
      <w:pPr>
        <w:pStyle w:val="Style1"/>
        <w:kinsoku w:val="0"/>
        <w:overflowPunct w:val="0"/>
        <w:autoSpaceDE/>
        <w:autoSpaceDN/>
        <w:adjustRightInd/>
        <w:spacing w:before="174" w:line="271" w:lineRule="exact"/>
        <w:ind w:firstLine="288"/>
        <w:jc w:val="both"/>
        <w:textAlignment w:val="baseline"/>
        <w:rPr>
          <w:spacing w:val="-9"/>
          <w:szCs w:val="23"/>
        </w:rPr>
      </w:pPr>
      <w:r>
        <w:rPr>
          <w:spacing w:val="-9"/>
          <w:szCs w:val="23"/>
        </w:rPr>
        <w:lastRenderedPageBreak/>
        <w:t>Le réactif de KARL FISCHER est préparé de la façon suivante : dans une fiole jaugée d’un litre contenant 270 mL de pyridine anhydre (C</w:t>
      </w:r>
      <w:r>
        <w:rPr>
          <w:spacing w:val="-9"/>
          <w:szCs w:val="17"/>
          <w:vertAlign w:val="subscript"/>
        </w:rPr>
        <w:t>5</w:t>
      </w:r>
      <w:r>
        <w:rPr>
          <w:spacing w:val="-9"/>
          <w:szCs w:val="23"/>
        </w:rPr>
        <w:t>H</w:t>
      </w:r>
      <w:r>
        <w:rPr>
          <w:spacing w:val="-9"/>
          <w:szCs w:val="17"/>
          <w:vertAlign w:val="subscript"/>
        </w:rPr>
        <w:t>5</w:t>
      </w:r>
      <w:r>
        <w:rPr>
          <w:spacing w:val="-9"/>
          <w:szCs w:val="23"/>
        </w:rPr>
        <w:t>N) et 670 mL de méthanol anhydre sont dissous 45 mL de dioxyde de soufre gazeux et 85 mg de diiode solide. Après homogénéisation, un volume de 940 mL d’une solution brune fortement colorée est obtenu. Une prise d’essai de 10,0 mL du liquide ionique dont on cherche la teneur en eau est alors titrée par la solution précédente. Une expérience réalisée avec le liquide ionique [BMIM</w:t>
      </w:r>
      <w:r>
        <w:rPr>
          <w:spacing w:val="-9"/>
          <w:szCs w:val="17"/>
          <w:vertAlign w:val="superscript"/>
        </w:rPr>
        <w:t>+</w:t>
      </w:r>
      <w:r>
        <w:rPr>
          <w:spacing w:val="-9"/>
          <w:szCs w:val="23"/>
        </w:rPr>
        <w:t>,PF</w:t>
      </w:r>
      <w:r>
        <w:rPr>
          <w:b/>
          <w:bCs/>
          <w:spacing w:val="-9"/>
          <w:szCs w:val="23"/>
          <w:vertAlign w:val="superscript"/>
        </w:rPr>
        <w:t>−</w:t>
      </w:r>
      <w:r>
        <w:rPr>
          <w:spacing w:val="-9"/>
          <w:szCs w:val="23"/>
          <w:vertAlign w:val="subscript"/>
        </w:rPr>
        <w:t>6</w:t>
      </w:r>
      <w:r>
        <w:rPr>
          <w:spacing w:val="-9"/>
          <w:szCs w:val="23"/>
        </w:rPr>
        <w:t xml:space="preserve"> ] a été menée et un volume équivalent de 14,9 mL obtenu.</w:t>
      </w:r>
    </w:p>
    <w:p w14:paraId="13272707" w14:textId="77777777" w:rsidR="000712B4" w:rsidRDefault="000712B4" w:rsidP="000712B4">
      <w:pPr>
        <w:pStyle w:val="Style1"/>
        <w:kinsoku w:val="0"/>
        <w:overflowPunct w:val="0"/>
        <w:autoSpaceDE/>
        <w:autoSpaceDN/>
        <w:adjustRightInd/>
        <w:spacing w:before="292" w:line="272" w:lineRule="exact"/>
        <w:jc w:val="both"/>
        <w:textAlignment w:val="baseline"/>
        <w:rPr>
          <w:spacing w:val="-8"/>
          <w:szCs w:val="23"/>
        </w:rPr>
      </w:pPr>
      <w:r>
        <w:rPr>
          <w:b/>
          <w:bCs/>
          <w:spacing w:val="-8"/>
          <w:szCs w:val="23"/>
        </w:rPr>
        <w:t>1.1.7</w:t>
      </w:r>
      <w:r>
        <w:rPr>
          <w:spacing w:val="-8"/>
          <w:szCs w:val="23"/>
        </w:rPr>
        <w:t xml:space="preserve"> Dans un premier temps on ne tient pas compte de la présence de pyridine et de méthanol. Écrire la réaction d’oxydoréduction se produisant entre l’eau de l’échantillon, le dioxyde de soufre et le diiode. Calculer sa constante d’équilibre et commenter (on ne prendra pas en compte les réactions d’hydratation des oxydes de soufre en raison de leur faible constante de vitesse).</w:t>
      </w:r>
    </w:p>
    <w:p w14:paraId="55AED3E9" w14:textId="083A4888" w:rsidR="000712B4" w:rsidRDefault="000712B4" w:rsidP="00BD45E0">
      <w:pPr>
        <w:pStyle w:val="Style1"/>
        <w:kinsoku w:val="0"/>
        <w:overflowPunct w:val="0"/>
        <w:autoSpaceDE/>
        <w:autoSpaceDN/>
        <w:adjustRightInd/>
        <w:spacing w:before="285" w:line="274" w:lineRule="exact"/>
        <w:jc w:val="both"/>
        <w:textAlignment w:val="baseline"/>
        <w:rPr>
          <w:szCs w:val="23"/>
        </w:rPr>
      </w:pPr>
      <w:r>
        <w:rPr>
          <w:b/>
          <w:bCs/>
          <w:szCs w:val="23"/>
        </w:rPr>
        <w:t>1.1.8</w:t>
      </w:r>
      <w:r>
        <w:rPr>
          <w:szCs w:val="23"/>
        </w:rPr>
        <w:t xml:space="preserve"> Les espèces issues de la réaction de dosage réagissent avec la pyridine. Donner la structure des produits obtenu</w:t>
      </w:r>
      <w:r w:rsidR="00BD45E0">
        <w:rPr>
          <w:szCs w:val="23"/>
        </w:rPr>
        <w:t>s.</w:t>
      </w:r>
      <w:r>
        <w:rPr>
          <w:b/>
          <w:bCs/>
          <w:noProof/>
        </w:rPr>
        <mc:AlternateContent>
          <mc:Choice Requires="wps">
            <w:drawing>
              <wp:anchor distT="0" distB="0" distL="0" distR="0" simplePos="0" relativeHeight="251660288" behindDoc="0" locked="0" layoutInCell="0" allowOverlap="1" wp14:anchorId="46A4444B" wp14:editId="5A400ABE">
                <wp:simplePos x="0" y="0"/>
                <wp:positionH relativeFrom="page">
                  <wp:posOffset>3686175</wp:posOffset>
                </wp:positionH>
                <wp:positionV relativeFrom="page">
                  <wp:posOffset>9399270</wp:posOffset>
                </wp:positionV>
                <wp:extent cx="189865" cy="171450"/>
                <wp:effectExtent l="0" t="7620" r="635" b="1905"/>
                <wp:wrapSquare wrapText="bothSides"/>
                <wp:docPr id="24"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 cy="171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8966FB" w14:textId="77777777" w:rsidR="000712B4" w:rsidRDefault="000712B4" w:rsidP="000712B4">
                            <w:pPr>
                              <w:pStyle w:val="Style1"/>
                              <w:kinsoku w:val="0"/>
                              <w:overflowPunct w:val="0"/>
                              <w:autoSpaceDE/>
                              <w:autoSpaceDN/>
                              <w:adjustRightInd/>
                              <w:spacing w:before="14" w:line="246" w:lineRule="exact"/>
                              <w:textAlignment w:val="baseline"/>
                              <w:rPr>
                                <w:rFonts w:ascii="Arial" w:hAnsi="Arial" w:cs="Arial"/>
                                <w:sz w:val="23"/>
                                <w:szCs w:val="23"/>
                              </w:rPr>
                            </w:pPr>
                            <w:r>
                              <w:rPr>
                                <w:rFonts w:ascii="Arial" w:hAnsi="Arial" w:cs="Arial"/>
                                <w:sz w:val="23"/>
                                <w:szCs w:val="23"/>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4444B" id="Zone de texte 24" o:spid="_x0000_s1028" type="#_x0000_t202" style="position:absolute;left:0;text-align:left;margin-left:290.25pt;margin-top:740.1pt;width:14.95pt;height:13.5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" o:allowincell="f" stroked="f">
                <v:fill opacity="0"/>
                <v:textbox inset="0,0,0,0">
                  <w:txbxContent>
                    <w:p w14:paraId="208966FB" w14:textId="77777777" w:rsidR="000712B4" w:rsidRDefault="000712B4" w:rsidP="000712B4">
                      <w:pPr>
                        <w:pStyle w:val="Style1"/>
                        <w:kinsoku w:val="0"/>
                        <w:overflowPunct w:val="0"/>
                        <w:autoSpaceDE/>
                        <w:autoSpaceDN/>
                        <w:adjustRightInd/>
                        <w:spacing w:before="14" w:line="246" w:lineRule="exact"/>
                        <w:textAlignment w:val="baseline"/>
                        <w:rPr>
                          <w:rFonts w:ascii="Arial" w:hAnsi="Arial" w:cs="Arial"/>
                          <w:sz w:val="23"/>
                          <w:szCs w:val="23"/>
                        </w:rPr>
                      </w:pPr>
                      <w:r>
                        <w:rPr>
                          <w:rFonts w:ascii="Arial" w:hAnsi="Arial" w:cs="Arial"/>
                          <w:sz w:val="23"/>
                          <w:szCs w:val="23"/>
                        </w:rPr>
                        <w:t>4</w:t>
                      </w:r>
                    </w:p>
                  </w:txbxContent>
                </v:textbox>
                <w10:wrap type="square" anchorx="page" anchory="page"/>
              </v:shape>
            </w:pict>
          </mc:Fallback>
        </mc:AlternateContent>
      </w:r>
      <w:r>
        <w:rPr>
          <w:b/>
          <w:bCs/>
          <w:szCs w:val="23"/>
        </w:rPr>
        <w:t>1.1.9</w:t>
      </w:r>
      <w:r>
        <w:rPr>
          <w:szCs w:val="23"/>
        </w:rPr>
        <w:t xml:space="preserve"> Expliquer par un calcul la manière de détecter l’équivalence. Que pourrait-on ajouter aux environs de l’équivalence afin de rendre sa détermination plus visible ?</w:t>
      </w:r>
    </w:p>
    <w:p w14:paraId="2F047779" w14:textId="77777777" w:rsidR="000712B4" w:rsidRDefault="000712B4" w:rsidP="000712B4">
      <w:pPr>
        <w:pStyle w:val="Style1"/>
        <w:kinsoku w:val="0"/>
        <w:overflowPunct w:val="0"/>
        <w:autoSpaceDE/>
        <w:autoSpaceDN/>
        <w:adjustRightInd/>
        <w:spacing w:before="302" w:line="270" w:lineRule="exact"/>
        <w:textAlignment w:val="baseline"/>
        <w:rPr>
          <w:spacing w:val="-5"/>
          <w:szCs w:val="23"/>
        </w:rPr>
      </w:pPr>
      <w:r>
        <w:rPr>
          <w:b/>
          <w:bCs/>
          <w:spacing w:val="-5"/>
          <w:szCs w:val="23"/>
        </w:rPr>
        <w:t>1.1.10</w:t>
      </w:r>
      <w:r>
        <w:rPr>
          <w:spacing w:val="-5"/>
          <w:szCs w:val="23"/>
        </w:rPr>
        <w:t xml:space="preserve"> Calculer la concentration molaire d’eau dans le liquide ionique [BMIM</w:t>
      </w:r>
      <w:r>
        <w:rPr>
          <w:spacing w:val="-5"/>
          <w:vertAlign w:val="superscript"/>
        </w:rPr>
        <w:t>+</w:t>
      </w:r>
      <w:r>
        <w:rPr>
          <w:spacing w:val="-5"/>
          <w:szCs w:val="23"/>
        </w:rPr>
        <w:t>,PF</w:t>
      </w:r>
      <w:r>
        <w:rPr>
          <w:b/>
          <w:bCs/>
          <w:spacing w:val="-5"/>
          <w:szCs w:val="23"/>
          <w:vertAlign w:val="superscript"/>
        </w:rPr>
        <w:t>−</w:t>
      </w:r>
      <w:r>
        <w:rPr>
          <w:spacing w:val="-5"/>
          <w:szCs w:val="23"/>
          <w:vertAlign w:val="subscript"/>
        </w:rPr>
        <w:t>6</w:t>
      </w:r>
      <w:r>
        <w:rPr>
          <w:spacing w:val="-5"/>
          <w:szCs w:val="23"/>
        </w:rPr>
        <w:t xml:space="preserve"> ].</w:t>
      </w:r>
    </w:p>
    <w:p w14:paraId="59683106" w14:textId="77777777" w:rsidR="000712B4" w:rsidRDefault="000712B4" w:rsidP="000712B4">
      <w:pPr>
        <w:pStyle w:val="Style1"/>
        <w:kinsoku w:val="0"/>
        <w:overflowPunct w:val="0"/>
        <w:autoSpaceDE/>
        <w:autoSpaceDN/>
        <w:adjustRightInd/>
        <w:spacing w:before="287" w:line="269" w:lineRule="exact"/>
        <w:ind w:right="216"/>
        <w:jc w:val="both"/>
        <w:textAlignment w:val="baseline"/>
        <w:rPr>
          <w:spacing w:val="-10"/>
          <w:szCs w:val="23"/>
        </w:rPr>
      </w:pPr>
      <w:r>
        <w:rPr>
          <w:b/>
          <w:bCs/>
          <w:spacing w:val="-10"/>
          <w:szCs w:val="23"/>
        </w:rPr>
        <w:t>1.1.11</w:t>
      </w:r>
      <w:r>
        <w:rPr>
          <w:spacing w:val="-10"/>
          <w:szCs w:val="23"/>
        </w:rPr>
        <w:t xml:space="preserve"> Dans la littérature, il est indiqué que le réactif de KARL FISHER est instable et doit être régulièrement étalonné avec une solution étalon d’eau dans le méthanol. Proposer une explication.</w:t>
      </w:r>
    </w:p>
    <w:p w14:paraId="0D2DABBE" w14:textId="77777777" w:rsidR="000712B4" w:rsidRDefault="000712B4" w:rsidP="000712B4">
      <w:pPr>
        <w:pStyle w:val="Style1"/>
        <w:kinsoku w:val="0"/>
        <w:overflowPunct w:val="0"/>
        <w:autoSpaceDE/>
        <w:autoSpaceDN/>
        <w:adjustRightInd/>
        <w:spacing w:before="505" w:line="247" w:lineRule="exact"/>
        <w:textAlignment w:val="baseline"/>
        <w:rPr>
          <w:b/>
          <w:bCs/>
          <w:spacing w:val="2"/>
          <w:szCs w:val="22"/>
        </w:rPr>
      </w:pPr>
      <w:r>
        <w:rPr>
          <w:b/>
          <w:bCs/>
          <w:spacing w:val="2"/>
          <w:szCs w:val="22"/>
        </w:rPr>
        <w:t>Analyse spectroscopique d’un liquide ionique</w:t>
      </w:r>
    </w:p>
    <w:p w14:paraId="2C225577" w14:textId="77777777" w:rsidR="000712B4" w:rsidRDefault="000712B4" w:rsidP="000712B4">
      <w:pPr>
        <w:pStyle w:val="Style1"/>
        <w:kinsoku w:val="0"/>
        <w:overflowPunct w:val="0"/>
        <w:autoSpaceDE/>
        <w:autoSpaceDN/>
        <w:adjustRightInd/>
        <w:spacing w:before="327" w:line="271" w:lineRule="exact"/>
        <w:ind w:right="216" w:firstLine="360"/>
        <w:jc w:val="both"/>
        <w:textAlignment w:val="baseline"/>
        <w:rPr>
          <w:spacing w:val="-8"/>
          <w:szCs w:val="23"/>
        </w:rPr>
      </w:pPr>
      <w:r>
        <w:rPr>
          <w:spacing w:val="-8"/>
          <w:szCs w:val="23"/>
        </w:rPr>
        <w:t>Souvent, une analyse précise n’est pas requise et il suffit de disposer de l’ordre de grandeur de la concentration en eau présente dans le liquide ionique. On substitue alors à la méthode de KARL FISCHER une analyse par spectroscopie infrarouge (IR), rapide à mettre en œuvre.</w:t>
      </w:r>
    </w:p>
    <w:p w14:paraId="3C358DF9" w14:textId="77777777" w:rsidR="000712B4" w:rsidRDefault="000712B4" w:rsidP="000712B4">
      <w:pPr>
        <w:pStyle w:val="Style1"/>
        <w:kinsoku w:val="0"/>
        <w:overflowPunct w:val="0"/>
        <w:autoSpaceDE/>
        <w:autoSpaceDN/>
        <w:adjustRightInd/>
        <w:spacing w:before="289" w:line="272" w:lineRule="exact"/>
        <w:ind w:right="216"/>
        <w:jc w:val="both"/>
        <w:textAlignment w:val="baseline"/>
        <w:rPr>
          <w:spacing w:val="-9"/>
          <w:szCs w:val="23"/>
        </w:rPr>
      </w:pPr>
      <w:r>
        <w:rPr>
          <w:b/>
          <w:bCs/>
          <w:spacing w:val="-9"/>
          <w:szCs w:val="23"/>
        </w:rPr>
        <w:t>1.1.12</w:t>
      </w:r>
      <w:r>
        <w:rPr>
          <w:spacing w:val="-9"/>
          <w:szCs w:val="23"/>
        </w:rPr>
        <w:t xml:space="preserve"> L’eau pure en phase vapeur présente deux bandes de vibration d’élongation à 3756 et 3657 cm</w:t>
      </w:r>
      <w:r>
        <w:rPr>
          <w:b/>
          <w:bCs/>
          <w:spacing w:val="-9"/>
          <w:szCs w:val="23"/>
          <w:vertAlign w:val="superscript"/>
        </w:rPr>
        <w:t>−</w:t>
      </w:r>
      <w:r>
        <w:rPr>
          <w:spacing w:val="-9"/>
          <w:szCs w:val="23"/>
          <w:vertAlign w:val="superscript"/>
        </w:rPr>
        <w:t>1</w:t>
      </w:r>
      <w:r>
        <w:rPr>
          <w:spacing w:val="-9"/>
          <w:szCs w:val="23"/>
        </w:rPr>
        <w:t>. Ces deux bandes fusionnent en phase liquide pour donner une bande large présentant un maximum vers 3300 cm</w:t>
      </w:r>
      <w:r>
        <w:rPr>
          <w:b/>
          <w:bCs/>
          <w:spacing w:val="-9"/>
          <w:szCs w:val="23"/>
          <w:vertAlign w:val="superscript"/>
        </w:rPr>
        <w:t>−</w:t>
      </w:r>
      <w:r>
        <w:rPr>
          <w:spacing w:val="-9"/>
          <w:szCs w:val="23"/>
          <w:vertAlign w:val="superscript"/>
        </w:rPr>
        <w:t>1</w:t>
      </w:r>
      <w:r>
        <w:rPr>
          <w:spacing w:val="-9"/>
          <w:szCs w:val="23"/>
        </w:rPr>
        <w:t>. Comment interpréter ces deux faits expérimentaux (fusion des bandes et abaissement du nombre d’onde) ?</w:t>
      </w:r>
    </w:p>
    <w:p w14:paraId="6D9457D4" w14:textId="77777777" w:rsidR="000712B4" w:rsidRDefault="000712B4" w:rsidP="000712B4">
      <w:pPr>
        <w:pStyle w:val="Style1"/>
        <w:kinsoku w:val="0"/>
        <w:overflowPunct w:val="0"/>
        <w:autoSpaceDE/>
        <w:autoSpaceDN/>
        <w:adjustRightInd/>
        <w:spacing w:before="175" w:after="139" w:line="272" w:lineRule="exact"/>
        <w:ind w:firstLine="360"/>
        <w:textAlignment w:val="baseline"/>
        <w:rPr>
          <w:spacing w:val="-6"/>
          <w:szCs w:val="23"/>
        </w:rPr>
      </w:pPr>
      <w:r>
        <w:rPr>
          <w:spacing w:val="-6"/>
          <w:szCs w:val="23"/>
        </w:rPr>
        <w:t>Un extrait des spectres IR (en absorbance) du tétrafluoroborate de 1-butyl-3-méthylimidazolium (noté [BMIM</w:t>
      </w:r>
      <w:r>
        <w:rPr>
          <w:spacing w:val="-6"/>
          <w:vertAlign w:val="superscript"/>
        </w:rPr>
        <w:t>+</w:t>
      </w:r>
      <w:r>
        <w:rPr>
          <w:spacing w:val="-6"/>
          <w:szCs w:val="23"/>
        </w:rPr>
        <w:t>,BF</w:t>
      </w:r>
      <w:r>
        <w:rPr>
          <w:b/>
          <w:bCs/>
          <w:spacing w:val="-6"/>
          <w:szCs w:val="23"/>
          <w:vertAlign w:val="superscript"/>
        </w:rPr>
        <w:t>−</w:t>
      </w:r>
      <w:r>
        <w:rPr>
          <w:spacing w:val="-6"/>
          <w:szCs w:val="23"/>
          <w:vertAlign w:val="subscript"/>
        </w:rPr>
        <w:t>4</w:t>
      </w:r>
      <w:r>
        <w:rPr>
          <w:spacing w:val="-6"/>
          <w:szCs w:val="23"/>
        </w:rPr>
        <w:t xml:space="preserve"> ]) (traits pleins), et de l’eau liquide (traits pointillés), enregistrés dans les mêmes conditions, est présenté figure 1. Ces spectres sont limités à la zone</w:t>
      </w:r>
      <w:r>
        <w:rPr>
          <w:rFonts w:ascii="Arial" w:hAnsi="Arial" w:cs="Arial"/>
          <w:spacing w:val="-6"/>
          <w:sz w:val="23"/>
          <w:szCs w:val="23"/>
        </w:rPr>
        <w:t xml:space="preserve"> </w:t>
      </w:r>
      <w:r>
        <w:rPr>
          <w:spacing w:val="-6"/>
          <w:szCs w:val="23"/>
        </w:rPr>
        <w:t>2800-3800 cm</w:t>
      </w:r>
      <w:r>
        <w:rPr>
          <w:b/>
          <w:bCs/>
          <w:spacing w:val="-6"/>
          <w:szCs w:val="23"/>
          <w:vertAlign w:val="superscript"/>
        </w:rPr>
        <w:t>−</w:t>
      </w:r>
      <w:r>
        <w:rPr>
          <w:spacing w:val="-6"/>
          <w:szCs w:val="23"/>
          <w:vertAlign w:val="superscript"/>
        </w:rPr>
        <w:t>1</w:t>
      </w:r>
      <w:r>
        <w:rPr>
          <w:spacing w:val="-6"/>
        </w:rPr>
        <w:t xml:space="preserve"> </w:t>
      </w:r>
      <w:r>
        <w:rPr>
          <w:spacing w:val="-6"/>
          <w:szCs w:val="23"/>
        </w:rPr>
        <w:t>(région OH).</w:t>
      </w:r>
    </w:p>
    <w:p w14:paraId="6EFA6011" w14:textId="56CDD20B" w:rsidR="000712B4" w:rsidRDefault="000712B4" w:rsidP="000712B4">
      <w:pPr>
        <w:spacing w:after="109"/>
        <w:ind w:left="1246" w:right="1665"/>
      </w:pPr>
      <w:r>
        <w:rPr>
          <w:noProof/>
        </w:rPr>
        <w:drawing>
          <wp:inline distT="0" distB="0" distL="0" distR="0" wp14:anchorId="4CC17831" wp14:editId="351DE458">
            <wp:extent cx="4095750" cy="24765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95750" cy="2476500"/>
                    </a:xfrm>
                    <a:prstGeom prst="rect">
                      <a:avLst/>
                    </a:prstGeom>
                    <a:noFill/>
                    <a:ln>
                      <a:noFill/>
                    </a:ln>
                  </pic:spPr>
                </pic:pic>
              </a:graphicData>
            </a:graphic>
          </wp:inline>
        </w:drawing>
      </w:r>
    </w:p>
    <w:p w14:paraId="1644565A" w14:textId="77777777" w:rsidR="000712B4" w:rsidRDefault="000712B4" w:rsidP="000712B4">
      <w:pPr>
        <w:pStyle w:val="Style1"/>
        <w:kinsoku w:val="0"/>
        <w:overflowPunct w:val="0"/>
        <w:autoSpaceDE/>
        <w:autoSpaceDN/>
        <w:adjustRightInd/>
        <w:spacing w:before="96" w:line="265" w:lineRule="exact"/>
        <w:ind w:left="216"/>
        <w:textAlignment w:val="baseline"/>
        <w:rPr>
          <w:spacing w:val="-3"/>
          <w:szCs w:val="23"/>
        </w:rPr>
      </w:pPr>
      <w:r>
        <w:rPr>
          <w:spacing w:val="-3"/>
          <w:szCs w:val="23"/>
        </w:rPr>
        <w:t>Figure 1 – Spectres IR du [BMIM</w:t>
      </w:r>
      <w:r>
        <w:rPr>
          <w:spacing w:val="-3"/>
          <w:vertAlign w:val="superscript"/>
        </w:rPr>
        <w:t>+</w:t>
      </w:r>
      <w:r>
        <w:rPr>
          <w:spacing w:val="-3"/>
          <w:szCs w:val="23"/>
        </w:rPr>
        <w:t>,BF</w:t>
      </w:r>
      <w:r>
        <w:rPr>
          <w:b/>
          <w:bCs/>
          <w:spacing w:val="-3"/>
          <w:szCs w:val="23"/>
          <w:vertAlign w:val="superscript"/>
        </w:rPr>
        <w:t>−</w:t>
      </w:r>
      <w:r>
        <w:rPr>
          <w:spacing w:val="-3"/>
          <w:szCs w:val="23"/>
          <w:vertAlign w:val="subscript"/>
        </w:rPr>
        <w:t>4</w:t>
      </w:r>
      <w:r>
        <w:rPr>
          <w:spacing w:val="-3"/>
          <w:szCs w:val="23"/>
        </w:rPr>
        <w:t xml:space="preserve"> ] (traits pleins) et de l’eau liquide (traits pointillés)</w:t>
      </w:r>
    </w:p>
    <w:p w14:paraId="56B17D01" w14:textId="77777777" w:rsidR="000712B4" w:rsidRDefault="000712B4" w:rsidP="000712B4">
      <w:pPr>
        <w:pStyle w:val="Style1"/>
        <w:kinsoku w:val="0"/>
        <w:overflowPunct w:val="0"/>
        <w:autoSpaceDE/>
        <w:autoSpaceDN/>
        <w:adjustRightInd/>
        <w:spacing w:before="470" w:line="269" w:lineRule="exact"/>
        <w:ind w:right="216"/>
        <w:jc w:val="both"/>
        <w:textAlignment w:val="baseline"/>
        <w:rPr>
          <w:spacing w:val="-8"/>
          <w:szCs w:val="23"/>
        </w:rPr>
      </w:pPr>
      <w:r>
        <w:rPr>
          <w:b/>
          <w:bCs/>
          <w:spacing w:val="-8"/>
          <w:szCs w:val="23"/>
        </w:rPr>
        <w:t>1.1.13</w:t>
      </w:r>
      <w:r>
        <w:rPr>
          <w:spacing w:val="-8"/>
          <w:szCs w:val="23"/>
        </w:rPr>
        <w:t xml:space="preserve"> En déduire dans quel état d’agrégation se trouve l’eau dans le liquide ionique. Que peut-on dire de la présence de liaisons hydrogène entre les molécules d’eau dans le liquide ionique ?</w:t>
      </w:r>
    </w:p>
    <w:p w14:paraId="7215860C" w14:textId="77777777" w:rsidR="000712B4" w:rsidRDefault="000712B4" w:rsidP="000712B4">
      <w:pPr>
        <w:pStyle w:val="Style1"/>
        <w:kinsoku w:val="0"/>
        <w:overflowPunct w:val="0"/>
        <w:autoSpaceDE/>
        <w:autoSpaceDN/>
        <w:adjustRightInd/>
        <w:spacing w:before="186" w:line="271" w:lineRule="exact"/>
        <w:ind w:right="216" w:firstLine="360"/>
        <w:jc w:val="both"/>
        <w:textAlignment w:val="baseline"/>
        <w:rPr>
          <w:spacing w:val="-9"/>
          <w:szCs w:val="23"/>
        </w:rPr>
      </w:pPr>
      <w:r>
        <w:rPr>
          <w:spacing w:val="-9"/>
          <w:szCs w:val="23"/>
        </w:rPr>
        <w:t>La figure 2 montre un extrait des spectres IR (région OH) obtenus après avoir laissé à l’air libre un échantillon de [BMIM</w:t>
      </w:r>
      <w:r>
        <w:rPr>
          <w:spacing w:val="-9"/>
          <w:vertAlign w:val="superscript"/>
        </w:rPr>
        <w:t>+</w:t>
      </w:r>
      <w:r>
        <w:rPr>
          <w:spacing w:val="-9"/>
          <w:szCs w:val="23"/>
        </w:rPr>
        <w:t>,BF</w:t>
      </w:r>
      <w:r>
        <w:rPr>
          <w:b/>
          <w:bCs/>
          <w:spacing w:val="-9"/>
          <w:szCs w:val="23"/>
          <w:vertAlign w:val="superscript"/>
        </w:rPr>
        <w:t>−</w:t>
      </w:r>
      <w:r>
        <w:rPr>
          <w:spacing w:val="-9"/>
          <w:szCs w:val="23"/>
          <w:vertAlign w:val="subscript"/>
        </w:rPr>
        <w:t>4</w:t>
      </w:r>
      <w:r>
        <w:rPr>
          <w:spacing w:val="-9"/>
          <w:szCs w:val="23"/>
        </w:rPr>
        <w:t xml:space="preserve"> ]. Les courbes correspondent à des temps croissants d’exposition à l’air (courbe (a) : 1 h; courbe (b) : 5 h; courbe (c) : 8 h d’exposition à l’air).</w:t>
      </w:r>
    </w:p>
    <w:p w14:paraId="1100CAAF" w14:textId="08FDE724" w:rsidR="000712B4" w:rsidRDefault="000712B4" w:rsidP="000712B4">
      <w:pPr>
        <w:spacing w:before="4" w:after="181"/>
        <w:ind w:left="1522" w:right="1619"/>
      </w:pPr>
      <w:r>
        <w:rPr>
          <w:noProof/>
        </w:rPr>
        <w:lastRenderedPageBreak/>
        <w:drawing>
          <wp:inline distT="0" distB="0" distL="0" distR="0" wp14:anchorId="352CBE8D" wp14:editId="4865EB3A">
            <wp:extent cx="3952875" cy="2447925"/>
            <wp:effectExtent l="0" t="0" r="9525" b="952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2875" cy="2447925"/>
                    </a:xfrm>
                    <a:prstGeom prst="rect">
                      <a:avLst/>
                    </a:prstGeom>
                    <a:noFill/>
                    <a:ln>
                      <a:noFill/>
                    </a:ln>
                  </pic:spPr>
                </pic:pic>
              </a:graphicData>
            </a:graphic>
          </wp:inline>
        </w:drawing>
      </w:r>
    </w:p>
    <w:p w14:paraId="666C678D" w14:textId="02092BDB" w:rsidR="000712B4" w:rsidRDefault="000712B4" w:rsidP="000712B4">
      <w:pPr>
        <w:pStyle w:val="Style1"/>
        <w:kinsoku w:val="0"/>
        <w:overflowPunct w:val="0"/>
        <w:autoSpaceDE/>
        <w:autoSpaceDN/>
        <w:adjustRightInd/>
        <w:spacing w:before="79" w:line="263" w:lineRule="exact"/>
        <w:jc w:val="center"/>
        <w:textAlignment w:val="baseline"/>
        <w:rPr>
          <w:spacing w:val="-5"/>
          <w:szCs w:val="23"/>
        </w:rPr>
      </w:pPr>
      <w:r>
        <w:rPr>
          <w:noProof/>
        </w:rPr>
        <mc:AlternateContent>
          <mc:Choice Requires="wps">
            <w:drawing>
              <wp:anchor distT="0" distB="0" distL="0" distR="0" simplePos="0" relativeHeight="251661312" behindDoc="0" locked="0" layoutInCell="0" allowOverlap="1" wp14:anchorId="26DCC385" wp14:editId="48AF241C">
                <wp:simplePos x="0" y="0"/>
                <wp:positionH relativeFrom="page">
                  <wp:posOffset>3689350</wp:posOffset>
                </wp:positionH>
                <wp:positionV relativeFrom="page">
                  <wp:posOffset>9399270</wp:posOffset>
                </wp:positionV>
                <wp:extent cx="183515" cy="170180"/>
                <wp:effectExtent l="3175" t="7620" r="3810" b="3175"/>
                <wp:wrapSquare wrapText="bothSides"/>
                <wp:docPr id="23"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515"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3CE268" w14:textId="77777777" w:rsidR="000712B4" w:rsidRDefault="000712B4" w:rsidP="000712B4">
                            <w:pPr>
                              <w:pStyle w:val="Style1"/>
                              <w:kinsoku w:val="0"/>
                              <w:overflowPunct w:val="0"/>
                              <w:autoSpaceDE/>
                              <w:autoSpaceDN/>
                              <w:adjustRightInd/>
                              <w:spacing w:before="14" w:line="246" w:lineRule="exact"/>
                              <w:textAlignment w:val="baseline"/>
                              <w:rPr>
                                <w:rFonts w:ascii="Arial" w:hAnsi="Arial" w:cs="Arial"/>
                                <w:sz w:val="23"/>
                                <w:szCs w:val="23"/>
                              </w:rPr>
                            </w:pPr>
                            <w:r>
                              <w:rPr>
                                <w:rFonts w:ascii="Arial" w:hAnsi="Arial" w:cs="Arial"/>
                                <w:sz w:val="23"/>
                                <w:szCs w:val="23"/>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CC385" id="Zone de texte 23" o:spid="_x0000_s1029" type="#_x0000_t202" style="position:absolute;left:0;text-align:left;margin-left:290.5pt;margin-top:740.1pt;width:14.45pt;height:13.4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" o:allowincell="f" stroked="f">
                <v:fill opacity="0"/>
                <v:textbox inset="0,0,0,0">
                  <w:txbxContent>
                    <w:p w14:paraId="0B3CE268" w14:textId="77777777" w:rsidR="000712B4" w:rsidRDefault="000712B4" w:rsidP="000712B4">
                      <w:pPr>
                        <w:pStyle w:val="Style1"/>
                        <w:kinsoku w:val="0"/>
                        <w:overflowPunct w:val="0"/>
                        <w:autoSpaceDE/>
                        <w:autoSpaceDN/>
                        <w:adjustRightInd/>
                        <w:spacing w:before="14" w:line="246" w:lineRule="exact"/>
                        <w:textAlignment w:val="baseline"/>
                        <w:rPr>
                          <w:rFonts w:ascii="Arial" w:hAnsi="Arial" w:cs="Arial"/>
                          <w:sz w:val="23"/>
                          <w:szCs w:val="23"/>
                        </w:rPr>
                      </w:pPr>
                      <w:r>
                        <w:rPr>
                          <w:rFonts w:ascii="Arial" w:hAnsi="Arial" w:cs="Arial"/>
                          <w:sz w:val="23"/>
                          <w:szCs w:val="23"/>
                        </w:rPr>
                        <w:t>5</w:t>
                      </w:r>
                    </w:p>
                  </w:txbxContent>
                </v:textbox>
                <w10:wrap type="square" anchorx="page" anchory="page"/>
              </v:shape>
            </w:pict>
          </mc:Fallback>
        </mc:AlternateContent>
      </w:r>
      <w:r>
        <w:rPr>
          <w:spacing w:val="-5"/>
          <w:szCs w:val="23"/>
        </w:rPr>
        <w:t>Figure 2 – Extraits des spectres IR de [BMIM</w:t>
      </w:r>
      <w:r>
        <w:rPr>
          <w:spacing w:val="-5"/>
          <w:szCs w:val="21"/>
          <w:vertAlign w:val="superscript"/>
        </w:rPr>
        <w:t>+</w:t>
      </w:r>
      <w:r>
        <w:rPr>
          <w:spacing w:val="-5"/>
          <w:szCs w:val="23"/>
        </w:rPr>
        <w:t>,BF</w:t>
      </w:r>
      <w:r>
        <w:rPr>
          <w:b/>
          <w:bCs/>
          <w:spacing w:val="-5"/>
          <w:szCs w:val="23"/>
          <w:vertAlign w:val="superscript"/>
        </w:rPr>
        <w:t>−</w:t>
      </w:r>
      <w:r>
        <w:rPr>
          <w:spacing w:val="-5"/>
          <w:szCs w:val="23"/>
          <w:vertAlign w:val="subscript"/>
        </w:rPr>
        <w:t>4</w:t>
      </w:r>
      <w:r>
        <w:rPr>
          <w:spacing w:val="-5"/>
          <w:szCs w:val="23"/>
        </w:rPr>
        <w:t xml:space="preserve"> ] laissé à l’air libre.</w:t>
      </w:r>
    </w:p>
    <w:p w14:paraId="67CD6D1A" w14:textId="77777777" w:rsidR="000712B4" w:rsidRDefault="000712B4" w:rsidP="000712B4">
      <w:pPr>
        <w:pStyle w:val="Style1"/>
        <w:kinsoku w:val="0"/>
        <w:overflowPunct w:val="0"/>
        <w:autoSpaceDE/>
        <w:autoSpaceDN/>
        <w:adjustRightInd/>
        <w:spacing w:before="378" w:line="254" w:lineRule="exact"/>
        <w:ind w:left="144"/>
        <w:textAlignment w:val="baseline"/>
        <w:rPr>
          <w:spacing w:val="-5"/>
          <w:szCs w:val="23"/>
        </w:rPr>
      </w:pPr>
      <w:r>
        <w:rPr>
          <w:spacing w:val="-5"/>
          <w:szCs w:val="23"/>
        </w:rPr>
        <w:t>Proposer une interprétation pour l’évolution observée.</w:t>
      </w:r>
    </w:p>
    <w:p w14:paraId="4EDF7954" w14:textId="77777777" w:rsidR="000712B4" w:rsidRDefault="000712B4" w:rsidP="000712B4">
      <w:pPr>
        <w:pStyle w:val="Style1"/>
        <w:kinsoku w:val="0"/>
        <w:overflowPunct w:val="0"/>
        <w:autoSpaceDE/>
        <w:autoSpaceDN/>
        <w:adjustRightInd/>
        <w:spacing w:before="312" w:line="254" w:lineRule="exact"/>
        <w:ind w:left="144"/>
        <w:textAlignment w:val="baseline"/>
        <w:rPr>
          <w:spacing w:val="-6"/>
          <w:szCs w:val="23"/>
        </w:rPr>
      </w:pPr>
      <w:r>
        <w:rPr>
          <w:b/>
          <w:bCs/>
          <w:spacing w:val="-6"/>
          <w:szCs w:val="23"/>
        </w:rPr>
        <w:t>1.1.14</w:t>
      </w:r>
      <w:r>
        <w:rPr>
          <w:spacing w:val="-6"/>
          <w:szCs w:val="23"/>
        </w:rPr>
        <w:t xml:space="preserve"> L’allure des bandes est-elle modifiée au cours du temps ? Que peut-on en déduire ?</w:t>
      </w:r>
    </w:p>
    <w:p w14:paraId="6E3E6128" w14:textId="77777777" w:rsidR="000712B4" w:rsidRDefault="000712B4" w:rsidP="000712B4">
      <w:pPr>
        <w:pStyle w:val="Style1"/>
        <w:kinsoku w:val="0"/>
        <w:overflowPunct w:val="0"/>
        <w:autoSpaceDE/>
        <w:autoSpaceDN/>
        <w:adjustRightInd/>
        <w:spacing w:before="181" w:after="108" w:line="271" w:lineRule="exact"/>
        <w:ind w:left="144" w:right="144" w:firstLine="288"/>
        <w:jc w:val="both"/>
        <w:textAlignment w:val="baseline"/>
        <w:rPr>
          <w:spacing w:val="-9"/>
          <w:szCs w:val="23"/>
        </w:rPr>
      </w:pPr>
      <w:r>
        <w:rPr>
          <w:spacing w:val="-9"/>
          <w:szCs w:val="23"/>
        </w:rPr>
        <w:t>Les spectres IR peuvent être utilisés pour déterminer quantitativement la concentration d’eau présente dans l’échantillon. Sachant que la bande vers 3640 cm</w:t>
      </w:r>
      <w:r>
        <w:rPr>
          <w:b/>
          <w:bCs/>
          <w:spacing w:val="-9"/>
          <w:szCs w:val="23"/>
          <w:vertAlign w:val="superscript"/>
        </w:rPr>
        <w:t>−</w:t>
      </w:r>
      <w:r>
        <w:rPr>
          <w:spacing w:val="-9"/>
          <w:szCs w:val="23"/>
          <w:vertAlign w:val="superscript"/>
        </w:rPr>
        <w:t>1</w:t>
      </w:r>
      <w:r>
        <w:rPr>
          <w:spacing w:val="-9"/>
          <w:szCs w:val="23"/>
        </w:rPr>
        <w:t xml:space="preserve"> est caractérisée, au niveau de son maximum, par un coefficient d’absorption molaire de 100 L.mol</w:t>
      </w:r>
      <w:r>
        <w:rPr>
          <w:b/>
          <w:bCs/>
          <w:spacing w:val="-9"/>
          <w:szCs w:val="23"/>
          <w:vertAlign w:val="superscript"/>
        </w:rPr>
        <w:t>−</w:t>
      </w:r>
      <w:r>
        <w:rPr>
          <w:spacing w:val="-9"/>
          <w:szCs w:val="23"/>
          <w:vertAlign w:val="superscript"/>
        </w:rPr>
        <w:t>1</w:t>
      </w:r>
      <w:r>
        <w:rPr>
          <w:spacing w:val="-9"/>
          <w:szCs w:val="23"/>
        </w:rPr>
        <w:t>.cm</w:t>
      </w:r>
      <w:r>
        <w:rPr>
          <w:b/>
          <w:bCs/>
          <w:spacing w:val="-9"/>
          <w:szCs w:val="23"/>
          <w:vertAlign w:val="superscript"/>
        </w:rPr>
        <w:t>−</w:t>
      </w:r>
      <w:r>
        <w:rPr>
          <w:spacing w:val="-9"/>
          <w:szCs w:val="23"/>
          <w:vertAlign w:val="superscript"/>
        </w:rPr>
        <w:t>1</w:t>
      </w:r>
      <w:r>
        <w:rPr>
          <w:spacing w:val="-9"/>
          <w:szCs w:val="23"/>
        </w:rPr>
        <w:t xml:space="preserve"> et que le dispositif utilisé est équivalent à une cuve d’une longueur de 1,1 </w:t>
      </w:r>
      <w:r>
        <w:rPr>
          <w:i/>
          <w:iCs/>
          <w:spacing w:val="-9"/>
        </w:rPr>
        <w:t>µ</w:t>
      </w:r>
      <w:r>
        <w:rPr>
          <w:spacing w:val="-9"/>
          <w:szCs w:val="23"/>
        </w:rPr>
        <w:t>m, déterminer les concentrations d’eau aux différents temps de la figure 2.</w:t>
      </w:r>
    </w:p>
    <w:p w14:paraId="6A222CF8" w14:textId="54C5A24F" w:rsidR="000712B4" w:rsidRDefault="000712B4" w:rsidP="000712B4">
      <w:pPr>
        <w:spacing w:after="249"/>
        <w:ind w:left="1522" w:right="1542"/>
      </w:pPr>
      <w:r>
        <w:rPr>
          <w:noProof/>
        </w:rPr>
        <w:drawing>
          <wp:inline distT="0" distB="0" distL="0" distR="0" wp14:anchorId="1096FD65" wp14:editId="66228142">
            <wp:extent cx="4000500" cy="24765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00500" cy="2476500"/>
                    </a:xfrm>
                    <a:prstGeom prst="rect">
                      <a:avLst/>
                    </a:prstGeom>
                    <a:noFill/>
                    <a:ln>
                      <a:noFill/>
                    </a:ln>
                  </pic:spPr>
                </pic:pic>
              </a:graphicData>
            </a:graphic>
          </wp:inline>
        </w:drawing>
      </w:r>
    </w:p>
    <w:p w14:paraId="3C242699" w14:textId="77777777" w:rsidR="000712B4" w:rsidRDefault="000712B4" w:rsidP="000712B4">
      <w:pPr>
        <w:pStyle w:val="Style1"/>
        <w:kinsoku w:val="0"/>
        <w:overflowPunct w:val="0"/>
        <w:autoSpaceDE/>
        <w:autoSpaceDN/>
        <w:adjustRightInd/>
        <w:spacing w:before="83" w:line="263" w:lineRule="exact"/>
        <w:jc w:val="center"/>
        <w:textAlignment w:val="baseline"/>
        <w:rPr>
          <w:spacing w:val="-5"/>
          <w:szCs w:val="23"/>
        </w:rPr>
      </w:pPr>
      <w:r>
        <w:rPr>
          <w:spacing w:val="-5"/>
          <w:szCs w:val="23"/>
        </w:rPr>
        <w:t>Figure 3 – Extrait du spectre IR d’un échantillon de [BMIM</w:t>
      </w:r>
      <w:r>
        <w:rPr>
          <w:spacing w:val="-5"/>
          <w:szCs w:val="21"/>
          <w:vertAlign w:val="superscript"/>
        </w:rPr>
        <w:t>+</w:t>
      </w:r>
      <w:r>
        <w:rPr>
          <w:spacing w:val="-5"/>
          <w:szCs w:val="23"/>
        </w:rPr>
        <w:t>,CF</w:t>
      </w:r>
      <w:r>
        <w:rPr>
          <w:spacing w:val="-5"/>
          <w:szCs w:val="21"/>
          <w:vertAlign w:val="subscript"/>
        </w:rPr>
        <w:t>3</w:t>
      </w:r>
      <w:r>
        <w:rPr>
          <w:spacing w:val="-5"/>
          <w:szCs w:val="23"/>
        </w:rPr>
        <w:t>CO</w:t>
      </w:r>
      <w:r>
        <w:rPr>
          <w:b/>
          <w:bCs/>
          <w:spacing w:val="-5"/>
          <w:szCs w:val="23"/>
          <w:vertAlign w:val="superscript"/>
        </w:rPr>
        <w:t>−</w:t>
      </w:r>
      <w:r>
        <w:rPr>
          <w:spacing w:val="-5"/>
          <w:szCs w:val="23"/>
          <w:vertAlign w:val="subscript"/>
        </w:rPr>
        <w:t>2</w:t>
      </w:r>
      <w:r>
        <w:rPr>
          <w:spacing w:val="-5"/>
          <w:szCs w:val="23"/>
        </w:rPr>
        <w:t xml:space="preserve"> ] saturé en eau.</w:t>
      </w:r>
    </w:p>
    <w:p w14:paraId="6EA29BE5" w14:textId="582183C9" w:rsidR="000712B4" w:rsidRPr="00BD45E0" w:rsidRDefault="000712B4" w:rsidP="00BD45E0">
      <w:pPr>
        <w:pStyle w:val="Style1"/>
        <w:kinsoku w:val="0"/>
        <w:overflowPunct w:val="0"/>
        <w:autoSpaceDE/>
        <w:autoSpaceDN/>
        <w:adjustRightInd/>
        <w:spacing w:before="318" w:line="271" w:lineRule="exact"/>
        <w:ind w:left="144" w:right="144"/>
        <w:jc w:val="both"/>
        <w:textAlignment w:val="baseline"/>
        <w:rPr>
          <w:rStyle w:val="CharacterStyle2"/>
          <w:spacing w:val="-9"/>
          <w:sz w:val="24"/>
          <w:szCs w:val="23"/>
        </w:rPr>
      </w:pPr>
      <w:r>
        <w:rPr>
          <w:spacing w:val="-9"/>
          <w:szCs w:val="23"/>
        </w:rPr>
        <w:t>À partir d’une concentration seuil d’eau de 3,2 mol.L</w:t>
      </w:r>
      <w:r>
        <w:rPr>
          <w:b/>
          <w:bCs/>
          <w:spacing w:val="-9"/>
          <w:szCs w:val="23"/>
          <w:vertAlign w:val="superscript"/>
        </w:rPr>
        <w:t>−</w:t>
      </w:r>
      <w:r>
        <w:rPr>
          <w:spacing w:val="-9"/>
          <w:szCs w:val="23"/>
          <w:vertAlign w:val="superscript"/>
        </w:rPr>
        <w:t>1</w:t>
      </w:r>
      <w:r>
        <w:rPr>
          <w:spacing w:val="-9"/>
          <w:szCs w:val="23"/>
        </w:rPr>
        <w:t>, on obtient un spectre IR du type présenté figure 3. Ce spectre de la région O-H est obtenu en laissant à l’air libre à température ambiante un échantillon du liquide ionique [BMIM</w:t>
      </w:r>
      <w:r>
        <w:rPr>
          <w:spacing w:val="-9"/>
          <w:szCs w:val="21"/>
          <w:vertAlign w:val="superscript"/>
        </w:rPr>
        <w:t>+</w:t>
      </w:r>
      <w:r>
        <w:rPr>
          <w:spacing w:val="-9"/>
          <w:szCs w:val="23"/>
        </w:rPr>
        <w:t>,CF</w:t>
      </w:r>
      <w:r>
        <w:rPr>
          <w:spacing w:val="-9"/>
          <w:szCs w:val="21"/>
          <w:vertAlign w:val="subscript"/>
        </w:rPr>
        <w:t>3</w:t>
      </w:r>
      <w:r>
        <w:rPr>
          <w:spacing w:val="-9"/>
          <w:szCs w:val="23"/>
        </w:rPr>
        <w:t>CO</w:t>
      </w:r>
      <w:r>
        <w:rPr>
          <w:b/>
          <w:bCs/>
          <w:spacing w:val="-9"/>
          <w:szCs w:val="23"/>
          <w:vertAlign w:val="superscript"/>
        </w:rPr>
        <w:t>−</w:t>
      </w:r>
      <w:r>
        <w:rPr>
          <w:spacing w:val="-9"/>
          <w:szCs w:val="23"/>
          <w:vertAlign w:val="subscript"/>
        </w:rPr>
        <w:t>2</w:t>
      </w:r>
      <w:r>
        <w:rPr>
          <w:spacing w:val="-9"/>
          <w:szCs w:val="23"/>
        </w:rPr>
        <w:t xml:space="preserve"> ]. Le temps d’exposition a été suffisamment grand pour saturer le liquide ionique en eau (on considère que le remplacement du contre-ion</w:t>
      </w:r>
      <w:r>
        <w:rPr>
          <w:noProof/>
        </w:rPr>
        <mc:AlternateContent>
          <mc:Choice Requires="wps">
            <w:drawing>
              <wp:anchor distT="0" distB="0" distL="0" distR="0" simplePos="0" relativeHeight="251662336" behindDoc="0" locked="0" layoutInCell="0" allowOverlap="1" wp14:anchorId="7E4589B9" wp14:editId="4B6098C3">
                <wp:simplePos x="0" y="0"/>
                <wp:positionH relativeFrom="page">
                  <wp:posOffset>3686175</wp:posOffset>
                </wp:positionH>
                <wp:positionV relativeFrom="page">
                  <wp:posOffset>9399270</wp:posOffset>
                </wp:positionV>
                <wp:extent cx="186690" cy="170180"/>
                <wp:effectExtent l="0" t="7620" r="3810" b="3175"/>
                <wp:wrapSquare wrapText="bothSides"/>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 cy="17018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71A7D" w14:textId="77777777" w:rsidR="000712B4" w:rsidRDefault="000712B4" w:rsidP="000712B4">
                            <w:pPr>
                              <w:pStyle w:val="Style2"/>
                              <w:kinsoku w:val="0"/>
                              <w:overflowPunct w:val="0"/>
                              <w:autoSpaceDE/>
                              <w:autoSpaceDN/>
                              <w:adjustRightInd/>
                              <w:spacing w:before="14" w:line="246" w:lineRule="exact"/>
                              <w:textAlignment w:val="baseline"/>
                              <w:rPr>
                                <w:rStyle w:val="CharacterStyle2"/>
                                <w:rFonts w:ascii="Arial" w:eastAsiaTheme="majorEastAsia" w:hAnsi="Arial" w:cs="Arial"/>
                                <w:sz w:val="23"/>
                                <w:szCs w:val="23"/>
                              </w:rPr>
                            </w:pPr>
                            <w:r>
                              <w:rPr>
                                <w:rStyle w:val="CharacterStyle2"/>
                                <w:rFonts w:ascii="Arial" w:eastAsiaTheme="majorEastAsia" w:hAnsi="Arial" w:cs="Arial"/>
                                <w:sz w:val="23"/>
                                <w:szCs w:val="23"/>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589B9" id="Zone de texte 22" o:spid="_x0000_s1030" type="#_x0000_t202" style="position:absolute;left:0;text-align:left;margin-left:290.25pt;margin-top:740.1pt;width:14.7pt;height:13.4pt;z-index:25166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" o:allowincell="f" stroked="f">
                <v:fill opacity="0"/>
                <v:textbox inset="0,0,0,0">
                  <w:txbxContent>
                    <w:p w14:paraId="09A71A7D" w14:textId="77777777" w:rsidR="000712B4" w:rsidRDefault="000712B4" w:rsidP="000712B4">
                      <w:pPr>
                        <w:pStyle w:val="Style2"/>
                        <w:kinsoku w:val="0"/>
                        <w:overflowPunct w:val="0"/>
                        <w:autoSpaceDE/>
                        <w:autoSpaceDN/>
                        <w:adjustRightInd/>
                        <w:spacing w:before="14" w:line="246" w:lineRule="exact"/>
                        <w:textAlignment w:val="baseline"/>
                        <w:rPr>
                          <w:rStyle w:val="CharacterStyle2"/>
                          <w:rFonts w:ascii="Arial" w:eastAsiaTheme="majorEastAsia" w:hAnsi="Arial" w:cs="Arial"/>
                          <w:sz w:val="23"/>
                          <w:szCs w:val="23"/>
                        </w:rPr>
                      </w:pPr>
                      <w:r>
                        <w:rPr>
                          <w:rStyle w:val="CharacterStyle2"/>
                          <w:rFonts w:ascii="Arial" w:eastAsiaTheme="majorEastAsia" w:hAnsi="Arial" w:cs="Arial"/>
                          <w:sz w:val="23"/>
                          <w:szCs w:val="23"/>
                        </w:rPr>
                        <w:t>6</w:t>
                      </w:r>
                    </w:p>
                  </w:txbxContent>
                </v:textbox>
                <w10:wrap type="square" anchorx="page" anchory="page"/>
              </v:shape>
            </w:pict>
          </mc:Fallback>
        </mc:AlternateContent>
      </w:r>
      <w:r w:rsidR="00BD45E0">
        <w:rPr>
          <w:spacing w:val="-9"/>
          <w:szCs w:val="23"/>
        </w:rPr>
        <w:t xml:space="preserve"> </w:t>
      </w:r>
      <w:r>
        <w:rPr>
          <w:rStyle w:val="CharacterStyle2"/>
          <w:rFonts w:eastAsiaTheme="majorEastAsia"/>
          <w:sz w:val="24"/>
          <w:szCs w:val="23"/>
        </w:rPr>
        <w:t>BF</w:t>
      </w:r>
      <w:r>
        <w:rPr>
          <w:rStyle w:val="CharacterStyle2"/>
          <w:rFonts w:eastAsiaTheme="majorEastAsia"/>
          <w:b/>
          <w:bCs/>
          <w:sz w:val="24"/>
          <w:szCs w:val="23"/>
          <w:vertAlign w:val="superscript"/>
        </w:rPr>
        <w:t>−</w:t>
      </w:r>
      <w:r>
        <w:rPr>
          <w:rStyle w:val="CharacterStyle2"/>
          <w:rFonts w:eastAsiaTheme="majorEastAsia"/>
          <w:sz w:val="24"/>
          <w:szCs w:val="23"/>
          <w:vertAlign w:val="subscript"/>
        </w:rPr>
        <w:t>4</w:t>
      </w:r>
      <w:r>
        <w:rPr>
          <w:rStyle w:val="CharacterStyle2"/>
          <w:rFonts w:eastAsiaTheme="majorEastAsia"/>
          <w:sz w:val="24"/>
          <w:szCs w:val="23"/>
        </w:rPr>
        <w:t xml:space="preserve"> par CF</w:t>
      </w:r>
      <w:r>
        <w:rPr>
          <w:rStyle w:val="CharacterStyle2"/>
          <w:rFonts w:eastAsiaTheme="majorEastAsia"/>
          <w:sz w:val="24"/>
          <w:szCs w:val="19"/>
          <w:vertAlign w:val="subscript"/>
        </w:rPr>
        <w:t>3</w:t>
      </w:r>
      <w:r>
        <w:rPr>
          <w:rStyle w:val="CharacterStyle2"/>
          <w:rFonts w:eastAsiaTheme="majorEastAsia"/>
          <w:sz w:val="24"/>
          <w:szCs w:val="23"/>
        </w:rPr>
        <w:t>CO</w:t>
      </w:r>
      <w:r>
        <w:rPr>
          <w:rStyle w:val="CharacterStyle2"/>
          <w:rFonts w:eastAsiaTheme="majorEastAsia"/>
          <w:b/>
          <w:bCs/>
          <w:sz w:val="24"/>
          <w:szCs w:val="23"/>
          <w:vertAlign w:val="superscript"/>
        </w:rPr>
        <w:t>−</w:t>
      </w:r>
      <w:r>
        <w:rPr>
          <w:rStyle w:val="CharacterStyle2"/>
          <w:rFonts w:eastAsiaTheme="majorEastAsia"/>
          <w:sz w:val="24"/>
          <w:szCs w:val="23"/>
          <w:vertAlign w:val="subscript"/>
        </w:rPr>
        <w:t>2</w:t>
      </w:r>
      <w:r>
        <w:rPr>
          <w:rStyle w:val="CharacterStyle2"/>
          <w:rFonts w:eastAsiaTheme="majorEastAsia"/>
          <w:sz w:val="24"/>
          <w:szCs w:val="23"/>
        </w:rPr>
        <w:t xml:space="preserve"> ne modifie pas significativement la valeur du coefficient d’absorption molaire du liquide ionique).</w:t>
      </w:r>
    </w:p>
    <w:p w14:paraId="35215552" w14:textId="37A2BEBE" w:rsidR="0089534D" w:rsidRPr="00E85B58" w:rsidRDefault="000712B4" w:rsidP="00E85B58">
      <w:pPr>
        <w:pStyle w:val="Style2"/>
        <w:kinsoku w:val="0"/>
        <w:overflowPunct w:val="0"/>
        <w:autoSpaceDE/>
        <w:autoSpaceDN/>
        <w:adjustRightInd/>
        <w:spacing w:before="285" w:line="274" w:lineRule="exact"/>
        <w:ind w:left="144" w:right="144"/>
        <w:jc w:val="both"/>
        <w:textAlignment w:val="baseline"/>
        <w:rPr>
          <w:rFonts w:eastAsiaTheme="majorEastAsia"/>
          <w:sz w:val="24"/>
          <w:szCs w:val="23"/>
        </w:rPr>
      </w:pPr>
      <w:r>
        <w:rPr>
          <w:rStyle w:val="CharacterStyle2"/>
          <w:rFonts w:eastAsiaTheme="majorEastAsia"/>
          <w:b/>
          <w:bCs/>
          <w:sz w:val="24"/>
          <w:szCs w:val="23"/>
        </w:rPr>
        <w:t>1.1.15</w:t>
      </w:r>
      <w:r>
        <w:rPr>
          <w:rStyle w:val="CharacterStyle2"/>
          <w:rFonts w:eastAsiaTheme="majorEastAsia"/>
          <w:sz w:val="24"/>
          <w:szCs w:val="23"/>
        </w:rPr>
        <w:t xml:space="preserve"> Les deux bandes du spectre de la figure 2 fusionnent dans ce cas en une seule, plus large. Proposer une interprétation.</w:t>
      </w:r>
    </w:p>
    <w:p w14:paraId="69858744" w14:textId="4DDBE0C7" w:rsidR="0089534D" w:rsidRDefault="0089534D">
      <w:pPr>
        <w:rPr>
          <w:b/>
          <w:bCs/>
        </w:rPr>
      </w:pPr>
      <w:r>
        <w:rPr>
          <w:b/>
          <w:bCs/>
        </w:rPr>
        <w:br w:type="page"/>
      </w:r>
    </w:p>
    <w:p w14:paraId="074B2383" w14:textId="403763AE" w:rsidR="007C72DD" w:rsidRDefault="007C72DD">
      <w:pPr>
        <w:rPr>
          <w:b/>
          <w:bCs/>
        </w:rPr>
      </w:pPr>
      <w:r>
        <w:rPr>
          <w:b/>
          <w:bCs/>
        </w:rPr>
        <w:lastRenderedPageBreak/>
        <w:t>CORRECTION DES EXERCICES D’ENTRAINEMENT SUR LA SPECTROSCOPIE UV-VISIBLE</w:t>
      </w:r>
    </w:p>
    <w:p w14:paraId="27F7DAC3" w14:textId="56089063" w:rsidR="007C72DD" w:rsidRDefault="007C72DD" w:rsidP="00E85B58">
      <w:pPr>
        <w:pBdr>
          <w:top w:val="single" w:sz="4" w:space="1" w:color="auto"/>
          <w:left w:val="single" w:sz="4" w:space="4" w:color="auto"/>
          <w:bottom w:val="single" w:sz="4" w:space="1" w:color="auto"/>
          <w:right w:val="single" w:sz="4" w:space="4" w:color="auto"/>
        </w:pBdr>
        <w:rPr>
          <w:b/>
          <w:bCs/>
        </w:rPr>
      </w:pPr>
      <w:r>
        <w:rPr>
          <w:b/>
          <w:bCs/>
        </w:rPr>
        <w:t>Correction</w:t>
      </w:r>
      <w:r w:rsidR="00E85B58">
        <w:rPr>
          <w:b/>
          <w:bCs/>
        </w:rPr>
        <w:t xml:space="preserve"> – Concours Centrale Supelec PSI 2021</w:t>
      </w:r>
    </w:p>
    <w:p w14:paraId="376BE9A4" w14:textId="23DB9E45" w:rsidR="007C72DD" w:rsidRDefault="00E85B58">
      <w:pPr>
        <w:rPr>
          <w:b/>
          <w:bCs/>
        </w:rPr>
      </w:pPr>
      <w:r>
        <w:rPr>
          <w:noProof/>
        </w:rPr>
        <w:drawing>
          <wp:inline distT="0" distB="0" distL="0" distR="0" wp14:anchorId="3B5370D8" wp14:editId="6CBF92F3">
            <wp:extent cx="6750685" cy="4441825"/>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750685" cy="4441825"/>
                    </a:xfrm>
                    <a:prstGeom prst="rect">
                      <a:avLst/>
                    </a:prstGeom>
                  </pic:spPr>
                </pic:pic>
              </a:graphicData>
            </a:graphic>
          </wp:inline>
        </w:drawing>
      </w:r>
    </w:p>
    <w:p w14:paraId="08AE668F" w14:textId="27BCDB59" w:rsidR="007C72DD" w:rsidRDefault="00E85B58">
      <w:pPr>
        <w:rPr>
          <w:b/>
          <w:bCs/>
        </w:rPr>
      </w:pPr>
      <w:r>
        <w:rPr>
          <w:noProof/>
        </w:rPr>
        <w:drawing>
          <wp:inline distT="0" distB="0" distL="0" distR="0" wp14:anchorId="24BD22F1" wp14:editId="06F24BC6">
            <wp:extent cx="6743700" cy="20764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743700" cy="2076450"/>
                    </a:xfrm>
                    <a:prstGeom prst="rect">
                      <a:avLst/>
                    </a:prstGeom>
                  </pic:spPr>
                </pic:pic>
              </a:graphicData>
            </a:graphic>
          </wp:inline>
        </w:drawing>
      </w:r>
    </w:p>
    <w:p w14:paraId="4988A748" w14:textId="2AA09764" w:rsidR="00E85B58" w:rsidRDefault="00E85B58">
      <w:pPr>
        <w:rPr>
          <w:b/>
          <w:bCs/>
        </w:rPr>
      </w:pPr>
      <w:r>
        <w:rPr>
          <w:noProof/>
        </w:rPr>
        <w:drawing>
          <wp:inline distT="0" distB="0" distL="0" distR="0" wp14:anchorId="1B36A146" wp14:editId="19D5BF37">
            <wp:extent cx="3686175" cy="381000"/>
            <wp:effectExtent l="0" t="0" r="952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86175" cy="381000"/>
                    </a:xfrm>
                    <a:prstGeom prst="rect">
                      <a:avLst/>
                    </a:prstGeom>
                  </pic:spPr>
                </pic:pic>
              </a:graphicData>
            </a:graphic>
          </wp:inline>
        </w:drawing>
      </w:r>
    </w:p>
    <w:p w14:paraId="6DDC8F99" w14:textId="417DCA3B" w:rsidR="00E85B58" w:rsidRDefault="00E85B58">
      <w:pPr>
        <w:rPr>
          <w:b/>
          <w:bCs/>
        </w:rPr>
      </w:pPr>
      <w:r>
        <w:rPr>
          <w:b/>
          <w:bCs/>
        </w:rPr>
        <w:br w:type="page"/>
      </w:r>
    </w:p>
    <w:p w14:paraId="01E55628" w14:textId="42D577F4" w:rsidR="0089534D" w:rsidRDefault="0089534D" w:rsidP="0089534D">
      <w:pPr>
        <w:pBdr>
          <w:top w:val="single" w:sz="4" w:space="1" w:color="auto"/>
          <w:left w:val="single" w:sz="4" w:space="4" w:color="auto"/>
          <w:bottom w:val="single" w:sz="4" w:space="1" w:color="auto"/>
          <w:right w:val="single" w:sz="4" w:space="4" w:color="auto"/>
        </w:pBdr>
        <w:rPr>
          <w:b/>
          <w:bCs/>
        </w:rPr>
      </w:pPr>
      <w:r>
        <w:rPr>
          <w:b/>
          <w:bCs/>
        </w:rPr>
        <w:lastRenderedPageBreak/>
        <w:t>Correction - Concours Mines Chimie PC 2019</w:t>
      </w:r>
    </w:p>
    <w:p w14:paraId="7580514C" w14:textId="4BAC906F" w:rsidR="0089534D" w:rsidRDefault="0089534D">
      <w:pPr>
        <w:rPr>
          <w:b/>
          <w:bCs/>
        </w:rPr>
      </w:pPr>
      <w:r>
        <w:rPr>
          <w:noProof/>
        </w:rPr>
        <w:drawing>
          <wp:inline distT="0" distB="0" distL="0" distR="0" wp14:anchorId="539602D0" wp14:editId="49759778">
            <wp:extent cx="6750685" cy="365950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750685" cy="3659505"/>
                    </a:xfrm>
                    <a:prstGeom prst="rect">
                      <a:avLst/>
                    </a:prstGeom>
                  </pic:spPr>
                </pic:pic>
              </a:graphicData>
            </a:graphic>
          </wp:inline>
        </w:drawing>
      </w:r>
    </w:p>
    <w:p w14:paraId="362DBD2E" w14:textId="29995C01" w:rsidR="0089534D" w:rsidRDefault="0089534D">
      <w:pPr>
        <w:rPr>
          <w:b/>
          <w:bCs/>
        </w:rPr>
      </w:pPr>
      <w:r>
        <w:rPr>
          <w:noProof/>
        </w:rPr>
        <w:drawing>
          <wp:inline distT="0" distB="0" distL="0" distR="0" wp14:anchorId="2D221346" wp14:editId="0F4A361B">
            <wp:extent cx="6724650" cy="5191125"/>
            <wp:effectExtent l="0" t="0" r="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724650" cy="5191125"/>
                    </a:xfrm>
                    <a:prstGeom prst="rect">
                      <a:avLst/>
                    </a:prstGeom>
                  </pic:spPr>
                </pic:pic>
              </a:graphicData>
            </a:graphic>
          </wp:inline>
        </w:drawing>
      </w:r>
    </w:p>
    <w:p w14:paraId="7B6B6B26" w14:textId="08E5DCBE" w:rsidR="00264A50" w:rsidRDefault="00264A50">
      <w:pPr>
        <w:rPr>
          <w:b/>
          <w:bCs/>
        </w:rPr>
      </w:pPr>
      <w:r>
        <w:rPr>
          <w:noProof/>
        </w:rPr>
        <w:lastRenderedPageBreak/>
        <w:drawing>
          <wp:inline distT="0" distB="0" distL="0" distR="0" wp14:anchorId="250D9B3B" wp14:editId="5DD67F7E">
            <wp:extent cx="6750685" cy="425196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750685" cy="4251960"/>
                    </a:xfrm>
                    <a:prstGeom prst="rect">
                      <a:avLst/>
                    </a:prstGeom>
                  </pic:spPr>
                </pic:pic>
              </a:graphicData>
            </a:graphic>
          </wp:inline>
        </w:drawing>
      </w:r>
    </w:p>
    <w:p w14:paraId="755221F0" w14:textId="45F78A5B" w:rsidR="00264A50" w:rsidRDefault="00264A50">
      <w:pPr>
        <w:rPr>
          <w:b/>
          <w:bCs/>
        </w:rPr>
      </w:pPr>
      <w:r>
        <w:rPr>
          <w:noProof/>
        </w:rPr>
        <w:drawing>
          <wp:inline distT="0" distB="0" distL="0" distR="0" wp14:anchorId="4483AF3B" wp14:editId="0AE65309">
            <wp:extent cx="6686550" cy="1876425"/>
            <wp:effectExtent l="0" t="0" r="0"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86550" cy="1876425"/>
                    </a:xfrm>
                    <a:prstGeom prst="rect">
                      <a:avLst/>
                    </a:prstGeom>
                  </pic:spPr>
                </pic:pic>
              </a:graphicData>
            </a:graphic>
          </wp:inline>
        </w:drawing>
      </w:r>
    </w:p>
    <w:p w14:paraId="01984BF9" w14:textId="4AA734D9" w:rsidR="0089534D" w:rsidRDefault="0089534D">
      <w:pPr>
        <w:rPr>
          <w:b/>
          <w:bCs/>
        </w:rPr>
      </w:pPr>
    </w:p>
    <w:p w14:paraId="0BA334D0" w14:textId="5574A900" w:rsidR="0089534D" w:rsidRDefault="000712B4" w:rsidP="000712B4">
      <w:pPr>
        <w:pBdr>
          <w:top w:val="single" w:sz="4" w:space="1" w:color="auto"/>
          <w:left w:val="single" w:sz="4" w:space="4" w:color="auto"/>
          <w:bottom w:val="single" w:sz="4" w:space="1" w:color="auto"/>
          <w:right w:val="single" w:sz="4" w:space="4" w:color="auto"/>
        </w:pBdr>
        <w:rPr>
          <w:b/>
          <w:bCs/>
        </w:rPr>
      </w:pPr>
      <w:r>
        <w:rPr>
          <w:b/>
          <w:bCs/>
        </w:rPr>
        <w:t xml:space="preserve">Correction </w:t>
      </w:r>
      <w:r>
        <w:rPr>
          <w:b/>
          <w:bCs/>
        </w:rPr>
        <w:t>-X-ENS-ESPCI Chimie 2014</w:t>
      </w:r>
    </w:p>
    <w:p w14:paraId="7892F4A1" w14:textId="77777777" w:rsidR="000712B4" w:rsidRDefault="000712B4" w:rsidP="000712B4">
      <w:pPr>
        <w:pStyle w:val="Titre1"/>
        <w:numPr>
          <w:ilvl w:val="0"/>
          <w:numId w:val="2"/>
        </w:numPr>
      </w:pPr>
      <w:bookmarkStart w:id="0" w:name="_Toc396993355"/>
      <w:r>
        <w:t>Première partie — Dissolution des gaz dans les liquides ioniques</w:t>
      </w:r>
      <w:bookmarkEnd w:id="0"/>
    </w:p>
    <w:p w14:paraId="38BFB1CF" w14:textId="77777777" w:rsidR="000712B4" w:rsidRDefault="000712B4" w:rsidP="000712B4">
      <w:pPr>
        <w:pStyle w:val="Titre2"/>
        <w:numPr>
          <w:ilvl w:val="1"/>
          <w:numId w:val="2"/>
        </w:numPr>
      </w:pPr>
      <w:bookmarkStart w:id="1" w:name="_Toc396993356"/>
      <w:r>
        <w:t>Dosages dans les liquides ioniques</w:t>
      </w:r>
      <w:bookmarkEnd w:id="1"/>
    </w:p>
    <w:p w14:paraId="2D152CA4" w14:textId="77777777" w:rsidR="000712B4" w:rsidRPr="0052413A" w:rsidRDefault="000712B4" w:rsidP="000712B4">
      <w:pPr>
        <w:pStyle w:val="Titre3"/>
      </w:pPr>
      <w:r>
        <w:t>Dosage des ions halogénure</w:t>
      </w:r>
    </w:p>
    <w:p w14:paraId="205E4C46" w14:textId="77777777" w:rsidR="000712B4" w:rsidRDefault="000712B4" w:rsidP="000712B4">
      <w:pPr>
        <w:pStyle w:val="Corpsdetexte"/>
        <w:numPr>
          <w:ilvl w:val="2"/>
          <w:numId w:val="2"/>
        </w:numPr>
      </w:pPr>
      <w:r>
        <w:t>Le solide blanc qui précipite est le chlorure d’argent.</w:t>
      </w:r>
    </w:p>
    <w:p w14:paraId="5CA0D1D9" w14:textId="77777777" w:rsidR="000712B4" w:rsidRDefault="000712B4" w:rsidP="000712B4">
      <w:pPr>
        <w:pStyle w:val="Corpsdetexte"/>
        <w:numPr>
          <w:ilvl w:val="2"/>
          <w:numId w:val="2"/>
        </w:numPr>
      </w:pPr>
      <w:r>
        <w:t>Au cours du dosage, l’excès d’ions argent réagit avec les ions thiocyanate ajoutés selon la réaction d’équation-bilan</w:t>
      </w:r>
      <w:r>
        <w:br/>
      </w:r>
      <m:oMathPara>
        <m:oMath>
          <m:sSup>
            <m:sSupPr>
              <m:ctrlPr>
                <w:rPr>
                  <w:rFonts w:ascii="Asana Math" w:hAnsi="Asana Math"/>
                </w:rPr>
              </m:ctrlPr>
            </m:sSupPr>
            <m:e>
              <m:r>
                <m:rPr>
                  <m:sty m:val="p"/>
                </m:rPr>
                <w:rPr>
                  <w:rFonts w:ascii="Asana Math" w:hAnsi="Asana Math"/>
                </w:rPr>
                <m:t>Ag</m:t>
              </m:r>
            </m:e>
            <m:sup>
              <m:r>
                <m:rPr>
                  <m:sty m:val="p"/>
                </m:rPr>
                <w:rPr>
                  <w:rFonts w:ascii="Asana Math" w:hAnsi="Asana Math"/>
                </w:rPr>
                <m:t>+</m:t>
              </m:r>
            </m:sup>
          </m:sSup>
          <m:r>
            <w:rPr>
              <w:rFonts w:ascii="Asana Math" w:hAnsi="Asana Math"/>
            </w:rPr>
            <m:t>+</m:t>
          </m:r>
          <m:sSup>
            <m:sSupPr>
              <m:ctrlPr>
                <w:rPr>
                  <w:rFonts w:ascii="Asana Math" w:hAnsi="Asana Math"/>
                </w:rPr>
              </m:ctrlPr>
            </m:sSupPr>
            <m:e>
              <m:r>
                <m:rPr>
                  <m:sty m:val="p"/>
                </m:rPr>
                <w:rPr>
                  <w:rFonts w:ascii="Asana Math" w:hAnsi="Asana Math"/>
                </w:rPr>
                <m:t>SCN</m:t>
              </m:r>
            </m:e>
            <m:sup>
              <m:r>
                <m:rPr>
                  <m:sty m:val="p"/>
                </m:rPr>
                <w:rPr>
                  <w:rFonts w:ascii="Asana Math" w:hAnsi="Asana Math"/>
                </w:rPr>
                <m:t>-</m:t>
              </m:r>
            </m:sup>
          </m:sSup>
          <m:r>
            <w:rPr>
              <w:rFonts w:ascii="Asana Math" w:hAnsi="Asana Math"/>
            </w:rPr>
            <m:t>=</m:t>
          </m:r>
          <m:sSub>
            <m:sSubPr>
              <m:ctrlPr>
                <w:rPr>
                  <w:rFonts w:ascii="Asana Math" w:hAnsi="Asana Math"/>
                </w:rPr>
              </m:ctrlPr>
            </m:sSubPr>
            <m:e>
              <m:r>
                <m:rPr>
                  <m:sty m:val="p"/>
                </m:rPr>
                <w:rPr>
                  <w:rFonts w:ascii="Asana Math" w:hAnsi="Asana Math"/>
                </w:rPr>
                <m:t>AgSCN</m:t>
              </m:r>
            </m:e>
            <m:sub>
              <m:d>
                <m:dPr>
                  <m:ctrlPr>
                    <w:rPr>
                      <w:rFonts w:ascii="Asana Math" w:hAnsi="Asana Math"/>
                    </w:rPr>
                  </m:ctrlPr>
                </m:dPr>
                <m:e>
                  <m:r>
                    <m:rPr>
                      <m:sty m:val="p"/>
                    </m:rPr>
                    <w:rPr>
                      <w:rFonts w:ascii="Asana Math" w:hAnsi="Asana Math"/>
                    </w:rPr>
                    <m:t>s</m:t>
                  </m:r>
                </m:e>
              </m:d>
            </m:sub>
          </m:sSub>
          <m:r>
            <m:rPr>
              <m:sty m:val="p"/>
            </m:rPr>
            <w:rPr>
              <w:rFonts w:ascii="Asana Math" w:hAnsi="Asana Math"/>
            </w:rPr>
            <w:br/>
          </m:r>
        </m:oMath>
      </m:oMathPara>
      <w:r>
        <w:t>et de constante d’équilibre</w:t>
      </w:r>
      <w:r>
        <w:br/>
      </w:r>
      <m:oMathPara>
        <m:oMath>
          <m:r>
            <w:rPr>
              <w:rFonts w:ascii="Asana Math" w:hAnsi="Asana Math"/>
            </w:rPr>
            <m:t>K=</m:t>
          </m:r>
          <m:f>
            <m:fPr>
              <m:ctrlPr>
                <w:rPr>
                  <w:rFonts w:ascii="Asana Math" w:hAnsi="Asana Math"/>
                  <w:i/>
                </w:rPr>
              </m:ctrlPr>
            </m:fPr>
            <m:num>
              <m:r>
                <w:rPr>
                  <w:rFonts w:ascii="Asana Math" w:hAnsi="Asana Math"/>
                </w:rPr>
                <m:t>1</m:t>
              </m:r>
            </m:num>
            <m:den>
              <m:sSub>
                <m:sSubPr>
                  <m:ctrlPr>
                    <w:rPr>
                      <w:rFonts w:ascii="Asana Math" w:hAnsi="Asana Math"/>
                      <w:i/>
                    </w:rPr>
                  </m:ctrlPr>
                </m:sSubPr>
                <m:e>
                  <m:r>
                    <w:rPr>
                      <w:rFonts w:ascii="Asana Math" w:hAnsi="Asana Math"/>
                    </w:rPr>
                    <m:t>K</m:t>
                  </m:r>
                </m:e>
                <m:sub>
                  <m:r>
                    <m:rPr>
                      <m:sty m:val="p"/>
                    </m:rPr>
                    <w:rPr>
                      <w:rFonts w:ascii="Asana Math" w:hAnsi="Asana Math"/>
                    </w:rPr>
                    <m:t>s</m:t>
                  </m:r>
                </m:sub>
              </m:sSub>
              <m:r>
                <w:rPr>
                  <w:rFonts w:ascii="Asana Math" w:hAnsi="Asana Math"/>
                </w:rPr>
                <m:t>(</m:t>
              </m:r>
              <m:r>
                <m:rPr>
                  <m:sty m:val="p"/>
                </m:rPr>
                <w:rPr>
                  <w:rFonts w:ascii="Asana Math" w:hAnsi="Asana Math"/>
                </w:rPr>
                <m:t>AgSCN)</m:t>
              </m:r>
            </m:den>
          </m:f>
          <m:r>
            <w:rPr>
              <w:rFonts w:ascii="Asana Math" w:hAnsi="Asana Math"/>
            </w:rPr>
            <m:t>=</m:t>
          </m:r>
          <m:sSup>
            <m:sSupPr>
              <m:ctrlPr>
                <w:rPr>
                  <w:rFonts w:ascii="Asana Math" w:hAnsi="Asana Math"/>
                  <w:i/>
                </w:rPr>
              </m:ctrlPr>
            </m:sSupPr>
            <m:e>
              <m:r>
                <w:rPr>
                  <w:rFonts w:ascii="Asana Math" w:hAnsi="Asana Math"/>
                </w:rPr>
                <m:t>10</m:t>
              </m:r>
            </m:e>
            <m:sup>
              <m:r>
                <w:rPr>
                  <w:rFonts w:ascii="Asana Math" w:hAnsi="Asana Math"/>
                </w:rPr>
                <m:t>11,9</m:t>
              </m:r>
            </m:sup>
          </m:sSup>
          <m:r>
            <m:rPr>
              <m:sty m:val="p"/>
            </m:rPr>
            <w:rPr>
              <w:rFonts w:ascii="Asana Math" w:hAnsi="Asana Math"/>
            </w:rPr>
            <w:br/>
          </m:r>
        </m:oMath>
      </m:oMathPara>
      <w:r>
        <w:t>ce qui assure que la réaction de dosage puisse être considérée comme totale.</w:t>
      </w:r>
    </w:p>
    <w:p w14:paraId="209F696B" w14:textId="77777777" w:rsidR="000712B4" w:rsidRDefault="000712B4" w:rsidP="000712B4">
      <w:pPr>
        <w:pStyle w:val="Corpsdetexte"/>
      </w:pPr>
      <w:r>
        <w:t>La détermination précise de la quantité résiduelle d’ions chlorure imposant de connaître précisément la quantité d’ions argent ajoutée (</w:t>
      </w:r>
      <w:r>
        <w:rPr>
          <w:i/>
        </w:rPr>
        <w:t>cf.</w:t>
      </w:r>
      <w:r>
        <w:t xml:space="preserve"> </w:t>
      </w:r>
      <w:r>
        <w:fldChar w:fldCharType="begin"/>
      </w:r>
      <w:r>
        <w:instrText xml:space="preserve"> REF  _Ref395364407 \h \r \t </w:instrText>
      </w:r>
      <w:r>
        <w:fldChar w:fldCharType="separate"/>
      </w:r>
      <w:r>
        <w:t>1.1.4</w:t>
      </w:r>
      <w:r>
        <w:fldChar w:fldCharType="end"/>
      </w:r>
      <w:r>
        <w:t xml:space="preserve">, équation </w:t>
      </w:r>
      <w:r>
        <w:fldChar w:fldCharType="begin"/>
      </w:r>
      <w:r>
        <w:instrText xml:space="preserve"> REF _Ref395391580 \h </w:instrText>
      </w:r>
      <w:r>
        <w:fldChar w:fldCharType="separate"/>
      </w:r>
      <w:r>
        <w:t>[</w:t>
      </w:r>
      <w:r>
        <w:rPr>
          <w:noProof/>
        </w:rPr>
        <w:t>1</w:t>
      </w:r>
      <w:r>
        <w:t>]</w:t>
      </w:r>
      <w:r>
        <w:fldChar w:fldCharType="end"/>
      </w:r>
      <w:r>
        <w:t>), la solution de nitrate d’argent doit être prélevée avec une pipette jaugée de 15 mL (de classe A).</w:t>
      </w:r>
    </w:p>
    <w:p w14:paraId="1E9C03D1" w14:textId="77777777" w:rsidR="000712B4" w:rsidRDefault="000712B4" w:rsidP="000712B4">
      <w:pPr>
        <w:pStyle w:val="Corpsdetexte"/>
        <w:numPr>
          <w:ilvl w:val="2"/>
          <w:numId w:val="2"/>
        </w:numPr>
      </w:pPr>
      <w:r>
        <w:t>Juste après l’équivalence, l’excès d’ions thiocyanate ajouté réagit avec les ions fer (III) selon la réaction d’équation-bilan</w:t>
      </w:r>
      <w:r>
        <w:br/>
      </w:r>
      <m:oMathPara>
        <m:oMath>
          <m:sSup>
            <m:sSupPr>
              <m:ctrlPr>
                <w:rPr>
                  <w:rFonts w:ascii="Asana Math" w:hAnsi="Asana Math"/>
                </w:rPr>
              </m:ctrlPr>
            </m:sSupPr>
            <m:e>
              <m:r>
                <m:rPr>
                  <m:sty m:val="p"/>
                </m:rPr>
                <w:rPr>
                  <w:rFonts w:ascii="Asana Math" w:hAnsi="Asana Math"/>
                </w:rPr>
                <m:t>Fe</m:t>
              </m:r>
            </m:e>
            <m:sup>
              <m:r>
                <m:rPr>
                  <m:sty m:val="p"/>
                </m:rPr>
                <w:rPr>
                  <w:rFonts w:ascii="Asana Math" w:hAnsi="Asana Math"/>
                </w:rPr>
                <m:t>3+</m:t>
              </m:r>
            </m:sup>
          </m:sSup>
          <m:r>
            <m:rPr>
              <m:sty m:val="p"/>
            </m:rPr>
            <w:rPr>
              <w:rFonts w:ascii="Asana Math" w:hAnsi="Asana Math"/>
            </w:rPr>
            <m:t>+</m:t>
          </m:r>
          <m:sSup>
            <m:sSupPr>
              <m:ctrlPr>
                <w:rPr>
                  <w:rFonts w:ascii="Asana Math" w:hAnsi="Asana Math"/>
                </w:rPr>
              </m:ctrlPr>
            </m:sSupPr>
            <m:e>
              <m:r>
                <m:rPr>
                  <m:sty m:val="p"/>
                </m:rPr>
                <w:rPr>
                  <w:rFonts w:ascii="Asana Math" w:hAnsi="Asana Math"/>
                </w:rPr>
                <m:t>SCN</m:t>
              </m:r>
            </m:e>
            <m:sup>
              <m:r>
                <m:rPr>
                  <m:sty m:val="p"/>
                </m:rPr>
                <w:rPr>
                  <w:rFonts w:ascii="Asana Math" w:hAnsi="Asana Math"/>
                </w:rPr>
                <m:t>-</m:t>
              </m:r>
            </m:sup>
          </m:sSup>
          <m:r>
            <w:rPr>
              <w:rFonts w:ascii="Asana Math" w:hAnsi="Asana Math"/>
            </w:rPr>
            <m:t>=</m:t>
          </m:r>
          <m:r>
            <m:rPr>
              <m:sty m:val="p"/>
            </m:rPr>
            <w:rPr>
              <w:rFonts w:ascii="Asana Math" w:hAnsi="Asana Math"/>
            </w:rPr>
            <m:t>Fe</m:t>
          </m:r>
          <m:sSup>
            <m:sSupPr>
              <m:ctrlPr>
                <w:rPr>
                  <w:rFonts w:ascii="Asana Math" w:hAnsi="Asana Math"/>
                </w:rPr>
              </m:ctrlPr>
            </m:sSupPr>
            <m:e>
              <m:d>
                <m:dPr>
                  <m:ctrlPr>
                    <w:rPr>
                      <w:rFonts w:ascii="Asana Math" w:hAnsi="Asana Math"/>
                    </w:rPr>
                  </m:ctrlPr>
                </m:dPr>
                <m:e>
                  <m:r>
                    <m:rPr>
                      <m:sty m:val="p"/>
                    </m:rPr>
                    <w:rPr>
                      <w:rFonts w:ascii="Asana Math" w:hAnsi="Asana Math"/>
                    </w:rPr>
                    <m:t>SCN</m:t>
                  </m:r>
                </m:e>
              </m:d>
            </m:e>
            <m:sup>
              <m:r>
                <m:rPr>
                  <m:sty m:val="p"/>
                </m:rPr>
                <w:rPr>
                  <w:rFonts w:ascii="Asana Math" w:hAnsi="Asana Math"/>
                </w:rPr>
                <m:t>2+</m:t>
              </m:r>
            </m:sup>
          </m:sSup>
          <m:r>
            <m:rPr>
              <m:sty m:val="p"/>
            </m:rPr>
            <w:rPr>
              <w:rFonts w:ascii="Asana Math" w:hAnsi="Asana Math"/>
            </w:rPr>
            <w:br/>
          </m:r>
        </m:oMath>
      </m:oMathPara>
      <w:r>
        <w:t>et de constante d’équilibre</w:t>
      </w:r>
      <w:r>
        <w:br/>
      </w:r>
      <m:oMathPara>
        <m:oMath>
          <m:r>
            <w:rPr>
              <w:rFonts w:ascii="Asana Math" w:hAnsi="Asana Math"/>
            </w:rPr>
            <m:t>β</m:t>
          </m:r>
          <m:d>
            <m:dPr>
              <m:grow m:val="0"/>
              <m:ctrlPr>
                <w:rPr>
                  <w:rFonts w:ascii="Asana Math" w:hAnsi="Asana Math"/>
                  <w:i/>
                </w:rPr>
              </m:ctrlPr>
            </m:dPr>
            <m:e>
              <m:r>
                <m:rPr>
                  <m:sty m:val="p"/>
                </m:rPr>
                <w:rPr>
                  <w:rFonts w:ascii="Asana Math" w:hAnsi="Asana Math"/>
                </w:rPr>
                <m:t>Fe</m:t>
              </m:r>
              <m:sSup>
                <m:sSupPr>
                  <m:ctrlPr>
                    <w:rPr>
                      <w:rFonts w:ascii="Asana Math" w:hAnsi="Asana Math"/>
                    </w:rPr>
                  </m:ctrlPr>
                </m:sSupPr>
                <m:e>
                  <m:d>
                    <m:dPr>
                      <m:ctrlPr>
                        <w:rPr>
                          <w:rFonts w:ascii="Asana Math" w:hAnsi="Asana Math"/>
                        </w:rPr>
                      </m:ctrlPr>
                    </m:dPr>
                    <m:e>
                      <m:r>
                        <m:rPr>
                          <m:sty m:val="p"/>
                        </m:rPr>
                        <w:rPr>
                          <w:rFonts w:ascii="Asana Math" w:hAnsi="Asana Math"/>
                        </w:rPr>
                        <m:t>SCN</m:t>
                      </m:r>
                    </m:e>
                  </m:d>
                </m:e>
                <m:sup>
                  <m:r>
                    <m:rPr>
                      <m:sty m:val="p"/>
                    </m:rPr>
                    <w:rPr>
                      <w:rFonts w:ascii="Asana Math" w:hAnsi="Asana Math"/>
                    </w:rPr>
                    <m:t>2+</m:t>
                  </m:r>
                </m:sup>
              </m:sSup>
              <m:ctrlPr>
                <w:rPr>
                  <w:rFonts w:ascii="Asana Math" w:hAnsi="Asana Math"/>
                </w:rPr>
              </m:ctrlPr>
            </m:e>
          </m:d>
          <m:r>
            <w:rPr>
              <w:rFonts w:ascii="Asana Math" w:hAnsi="Asana Math"/>
            </w:rPr>
            <m:t>=</m:t>
          </m:r>
          <m:sSup>
            <m:sSupPr>
              <m:ctrlPr>
                <w:rPr>
                  <w:rFonts w:ascii="Asana Math" w:hAnsi="Asana Math"/>
                  <w:i/>
                </w:rPr>
              </m:ctrlPr>
            </m:sSupPr>
            <m:e>
              <m:r>
                <w:rPr>
                  <w:rFonts w:ascii="Asana Math" w:hAnsi="Asana Math"/>
                </w:rPr>
                <m:t>10</m:t>
              </m:r>
            </m:e>
            <m:sup>
              <m:r>
                <w:rPr>
                  <w:rFonts w:ascii="Asana Math" w:hAnsi="Asana Math"/>
                </w:rPr>
                <m:t>2,2</m:t>
              </m:r>
            </m:sup>
          </m:sSup>
          <m:r>
            <m:rPr>
              <m:sty m:val="p"/>
            </m:rPr>
            <w:rPr>
              <w:rFonts w:ascii="Asana Math" w:hAnsi="Asana Math"/>
            </w:rPr>
            <w:br/>
          </m:r>
        </m:oMath>
      </m:oMathPara>
      <w:r>
        <w:t>dont la valeur</w:t>
      </w:r>
      <w:r>
        <w:rPr>
          <w:rStyle w:val="Appelnotedebasdep"/>
        </w:rPr>
        <w:footnoteReference w:id="1"/>
      </w:r>
      <w:r>
        <w:t>, sans être très élevée, est suffisante pour que le seuil d’observation de la coloration rouge sang due aux ions thiocyanatofer (II) soit atteint dès que le réactif titrant est ajouté en excès, ce qui permet de repérer l’équivalence à la goutte près.</w:t>
      </w:r>
    </w:p>
    <w:p w14:paraId="624B2983" w14:textId="77777777" w:rsidR="000712B4" w:rsidRPr="0048577D" w:rsidRDefault="000712B4" w:rsidP="000712B4">
      <w:pPr>
        <w:pStyle w:val="Corpsdetexte"/>
        <w:numPr>
          <w:ilvl w:val="2"/>
          <w:numId w:val="2"/>
        </w:numPr>
      </w:pPr>
      <w:bookmarkStart w:id="2" w:name="_Ref395513288"/>
      <w:bookmarkStart w:id="3" w:name="_Ref395364407"/>
      <w:r>
        <w:t>Pour ce dosage en retour, le bilan de matière pour les ions argent s’écrit</w:t>
      </w:r>
      <w:bookmarkEnd w:id="2"/>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3"/>
        <w:gridCol w:w="8505"/>
        <w:gridCol w:w="1063"/>
      </w:tblGrid>
      <w:tr w:rsidR="000712B4" w14:paraId="0867295E" w14:textId="77777777" w:rsidTr="0006291A">
        <w:tc>
          <w:tcPr>
            <w:tcW w:w="500" w:type="pct"/>
            <w:vAlign w:val="center"/>
          </w:tcPr>
          <w:p w14:paraId="78847674" w14:textId="77777777" w:rsidR="000712B4" w:rsidRDefault="000712B4" w:rsidP="0006291A">
            <w:pPr>
              <w:pStyle w:val="Corpsreprise"/>
            </w:pPr>
          </w:p>
        </w:tc>
        <w:tc>
          <w:tcPr>
            <w:tcW w:w="4000" w:type="pct"/>
            <w:vAlign w:val="center"/>
          </w:tcPr>
          <w:p w14:paraId="0CC1479D" w14:textId="77777777" w:rsidR="000712B4" w:rsidRDefault="000712B4" w:rsidP="0006291A">
            <w:pPr>
              <w:pStyle w:val="Corpsreprise"/>
            </w:pPr>
            <m:oMathPara>
              <m:oMath>
                <m:sSub>
                  <m:sSubPr>
                    <m:ctrlPr>
                      <w:rPr>
                        <w:rFonts w:ascii="Asana Math" w:hAnsi="Asana Math"/>
                        <w:i/>
                      </w:rPr>
                    </m:ctrlPr>
                  </m:sSubPr>
                  <m:e>
                    <m:r>
                      <w:rPr>
                        <w:rFonts w:ascii="Asana Math" w:hAnsi="Asana Math"/>
                      </w:rPr>
                      <m:t>n</m:t>
                    </m:r>
                  </m:e>
                  <m:sub>
                    <m:sSup>
                      <m:sSupPr>
                        <m:ctrlPr>
                          <w:rPr>
                            <w:rFonts w:ascii="Asana Math" w:hAnsi="Asana Math"/>
                          </w:rPr>
                        </m:ctrlPr>
                      </m:sSupPr>
                      <m:e>
                        <m:r>
                          <m:rPr>
                            <m:sty m:val="p"/>
                          </m:rPr>
                          <w:rPr>
                            <w:rFonts w:ascii="Asana Math" w:hAnsi="Asana Math"/>
                          </w:rPr>
                          <m:t>Ag</m:t>
                        </m:r>
                        <m:ctrlPr>
                          <w:rPr>
                            <w:rFonts w:ascii="Asana Math" w:hAnsi="Asana Math"/>
                            <w:i/>
                          </w:rPr>
                        </m:ctrlPr>
                      </m:e>
                      <m:sup>
                        <m:r>
                          <m:rPr>
                            <m:sty m:val="p"/>
                          </m:rPr>
                          <w:rPr>
                            <w:rFonts w:ascii="Asana Math" w:hAnsi="Asana Math"/>
                          </w:rPr>
                          <m:t>+</m:t>
                        </m:r>
                      </m:sup>
                    </m:sSup>
                  </m:sub>
                </m:sSub>
                <m:r>
                  <w:rPr>
                    <w:rFonts w:ascii="Asana Math" w:hAnsi="Asana Math"/>
                  </w:rPr>
                  <m:t>=</m:t>
                </m:r>
                <m:sSub>
                  <m:sSubPr>
                    <m:ctrlPr>
                      <w:rPr>
                        <w:rFonts w:ascii="Asana Math" w:hAnsi="Asana Math"/>
                        <w:i/>
                      </w:rPr>
                    </m:ctrlPr>
                  </m:sSubPr>
                  <m:e>
                    <m:r>
                      <w:rPr>
                        <w:rFonts w:ascii="Asana Math" w:hAnsi="Asana Math"/>
                      </w:rPr>
                      <m:t>n</m:t>
                    </m:r>
                  </m:e>
                  <m:sub>
                    <m:sSup>
                      <m:sSupPr>
                        <m:ctrlPr>
                          <w:rPr>
                            <w:rFonts w:ascii="Asana Math" w:hAnsi="Asana Math"/>
                          </w:rPr>
                        </m:ctrlPr>
                      </m:sSupPr>
                      <m:e>
                        <m:r>
                          <m:rPr>
                            <m:sty m:val="p"/>
                          </m:rPr>
                          <w:rPr>
                            <w:rFonts w:ascii="Asana Math" w:hAnsi="Asana Math"/>
                          </w:rPr>
                          <m:t>Cl</m:t>
                        </m:r>
                        <m:ctrlPr>
                          <w:rPr>
                            <w:rFonts w:ascii="Asana Math" w:hAnsi="Asana Math"/>
                            <w:i/>
                          </w:rPr>
                        </m:ctrlPr>
                      </m:e>
                      <m:sup>
                        <m:r>
                          <m:rPr>
                            <m:sty m:val="p"/>
                          </m:rPr>
                          <w:rPr>
                            <w:rFonts w:ascii="Asana Math" w:hAnsi="Asana Math"/>
                          </w:rPr>
                          <m:t>-</m:t>
                        </m:r>
                      </m:sup>
                    </m:sSup>
                  </m:sub>
                </m:sSub>
                <m:r>
                  <m:rPr>
                    <m:sty m:val="p"/>
                  </m:rPr>
                  <w:rPr>
                    <w:rFonts w:ascii="Asana Math" w:hAnsi="Asana Math"/>
                  </w:rPr>
                  <m:t>+</m:t>
                </m:r>
                <m:sSub>
                  <m:sSubPr>
                    <m:ctrlPr>
                      <w:rPr>
                        <w:rFonts w:ascii="Asana Math" w:hAnsi="Asana Math"/>
                        <w:i/>
                      </w:rPr>
                    </m:ctrlPr>
                  </m:sSubPr>
                  <m:e>
                    <m:r>
                      <w:rPr>
                        <w:rFonts w:ascii="Asana Math" w:hAnsi="Asana Math"/>
                      </w:rPr>
                      <m:t>n</m:t>
                    </m:r>
                  </m:e>
                  <m:sub>
                    <m:sSup>
                      <m:sSupPr>
                        <m:ctrlPr>
                          <w:rPr>
                            <w:rFonts w:ascii="Asana Math" w:hAnsi="Asana Math"/>
                          </w:rPr>
                        </m:ctrlPr>
                      </m:sSupPr>
                      <m:e>
                        <m:r>
                          <m:rPr>
                            <m:sty m:val="p"/>
                          </m:rPr>
                          <w:rPr>
                            <w:rFonts w:ascii="Asana Math" w:hAnsi="Asana Math"/>
                          </w:rPr>
                          <m:t>SCN</m:t>
                        </m:r>
                        <m:ctrlPr>
                          <w:rPr>
                            <w:rFonts w:ascii="Asana Math" w:hAnsi="Asana Math"/>
                            <w:i/>
                          </w:rPr>
                        </m:ctrlPr>
                      </m:e>
                      <m:sup>
                        <m:r>
                          <m:rPr>
                            <m:sty m:val="p"/>
                          </m:rPr>
                          <w:rPr>
                            <w:rFonts w:ascii="Asana Math" w:hAnsi="Asana Math"/>
                          </w:rPr>
                          <m:t>-</m:t>
                        </m:r>
                      </m:sup>
                    </m:sSup>
                  </m:sub>
                </m:sSub>
              </m:oMath>
            </m:oMathPara>
          </w:p>
        </w:tc>
        <w:tc>
          <w:tcPr>
            <w:tcW w:w="500" w:type="pct"/>
            <w:vAlign w:val="center"/>
          </w:tcPr>
          <w:p w14:paraId="6DE51518" w14:textId="77777777" w:rsidR="000712B4" w:rsidRPr="00406673" w:rsidRDefault="000712B4" w:rsidP="0006291A">
            <w:pPr>
              <w:pStyle w:val="Corpsreprise"/>
              <w:jc w:val="right"/>
            </w:pPr>
            <w:bookmarkStart w:id="4" w:name="_Ref395391580"/>
            <w:r>
              <w:t>[</w:t>
            </w:r>
            <w:r w:rsidRPr="00406673">
              <w:fldChar w:fldCharType="begin"/>
            </w:r>
            <w:r w:rsidRPr="00406673">
              <w:instrText xml:space="preserve"> SEQ </w:instrText>
            </w:r>
            <w:r>
              <w:instrText>Équat</w:instrText>
            </w:r>
            <w:r w:rsidRPr="00406673">
              <w:instrText xml:space="preserve">ion \* Arabic \* Mergeformat </w:instrText>
            </w:r>
            <w:r w:rsidRPr="00406673">
              <w:fldChar w:fldCharType="separate"/>
            </w:r>
            <w:r>
              <w:rPr>
                <w:noProof/>
              </w:rPr>
              <w:t>1</w:t>
            </w:r>
            <w:r w:rsidRPr="00406673">
              <w:fldChar w:fldCharType="end"/>
            </w:r>
            <w:r>
              <w:t>]</w:t>
            </w:r>
            <w:bookmarkEnd w:id="4"/>
          </w:p>
        </w:tc>
      </w:tr>
    </w:tbl>
    <w:p w14:paraId="78AAA122" w14:textId="77777777" w:rsidR="000712B4" w:rsidRPr="0048577D" w:rsidRDefault="000712B4" w:rsidP="000712B4"/>
    <w:p w14:paraId="44F49913" w14:textId="77777777" w:rsidR="000712B4" w:rsidRPr="0048577D" w:rsidRDefault="000712B4" w:rsidP="000712B4">
      <w:pPr>
        <w:pStyle w:val="Corpsreprise"/>
      </w:pPr>
      <w:r>
        <w:t>soit avec des notations évidentes</w:t>
      </w:r>
      <w:r>
        <w:br/>
      </w:r>
      <m:oMathPara>
        <m:oMath>
          <m:sSub>
            <m:sSubPr>
              <m:ctrlPr>
                <w:rPr>
                  <w:rFonts w:ascii="Asana Math" w:hAnsi="Asana Math"/>
                  <w:i/>
                </w:rPr>
              </m:ctrlPr>
            </m:sSubPr>
            <m:e>
              <m:r>
                <w:rPr>
                  <w:rFonts w:ascii="Asana Math" w:hAnsi="Asana Math"/>
                </w:rPr>
                <m:t>C</m:t>
              </m:r>
            </m:e>
            <m:sub>
              <m:r>
                <m:rPr>
                  <m:sty m:val="p"/>
                </m:rPr>
                <w:rPr>
                  <w:rFonts w:ascii="Asana Math" w:hAnsi="Asana Math"/>
                </w:rPr>
                <m:t>Ag</m:t>
              </m:r>
            </m:sub>
          </m:sSub>
          <m:sSub>
            <m:sSubPr>
              <m:ctrlPr>
                <w:rPr>
                  <w:rFonts w:ascii="Asana Math" w:hAnsi="Asana Math"/>
                  <w:i/>
                </w:rPr>
              </m:ctrlPr>
            </m:sSubPr>
            <m:e>
              <m:r>
                <w:rPr>
                  <w:rFonts w:ascii="Asana Math" w:hAnsi="Asana Math"/>
                </w:rPr>
                <m:t>V</m:t>
              </m:r>
            </m:e>
            <m:sub>
              <m:r>
                <m:rPr>
                  <m:sty m:val="p"/>
                </m:rPr>
                <w:rPr>
                  <w:rFonts w:ascii="Asana Math" w:hAnsi="Asana Math"/>
                </w:rPr>
                <m:t>Ag</m:t>
              </m:r>
            </m:sub>
          </m:sSub>
          <m:r>
            <w:rPr>
              <w:rFonts w:ascii="Asana Math" w:hAnsi="Asana Math"/>
            </w:rPr>
            <m:t>=</m:t>
          </m:r>
          <m:sSub>
            <m:sSubPr>
              <m:ctrlPr>
                <w:rPr>
                  <w:rFonts w:ascii="Asana Math" w:hAnsi="Asana Math"/>
                  <w:i/>
                </w:rPr>
              </m:ctrlPr>
            </m:sSubPr>
            <m:e>
              <m:r>
                <w:rPr>
                  <w:rFonts w:ascii="Asana Math" w:hAnsi="Asana Math"/>
                </w:rPr>
                <m:t>C</m:t>
              </m:r>
            </m:e>
            <m:sub>
              <m:r>
                <m:rPr>
                  <m:sty m:val="p"/>
                </m:rPr>
                <w:rPr>
                  <w:rFonts w:ascii="Asana Math" w:hAnsi="Asana Math"/>
                </w:rPr>
                <m:t>Cl</m:t>
              </m:r>
            </m:sub>
          </m:sSub>
          <m:sSub>
            <m:sSubPr>
              <m:ctrlPr>
                <w:rPr>
                  <w:rFonts w:ascii="Asana Math" w:hAnsi="Asana Math"/>
                  <w:i/>
                </w:rPr>
              </m:ctrlPr>
            </m:sSubPr>
            <m:e>
              <m:r>
                <w:rPr>
                  <w:rFonts w:ascii="Asana Math" w:hAnsi="Asana Math"/>
                </w:rPr>
                <m:t>V</m:t>
              </m:r>
            </m:e>
            <m:sub>
              <m:r>
                <m:rPr>
                  <m:sty m:val="p"/>
                </m:rPr>
                <w:rPr>
                  <w:rFonts w:ascii="Asana Math" w:hAnsi="Asana Math"/>
                </w:rPr>
                <m:t>Cl</m:t>
              </m:r>
            </m:sub>
          </m:sSub>
          <m:r>
            <w:rPr>
              <w:rFonts w:ascii="Asana Math" w:hAnsi="Asana Math"/>
            </w:rPr>
            <m:t>+</m:t>
          </m:r>
          <m:sSub>
            <m:sSubPr>
              <m:ctrlPr>
                <w:rPr>
                  <w:rFonts w:ascii="Asana Math" w:hAnsi="Asana Math"/>
                  <w:i/>
                </w:rPr>
              </m:ctrlPr>
            </m:sSubPr>
            <m:e>
              <m:r>
                <w:rPr>
                  <w:rFonts w:ascii="Asana Math" w:hAnsi="Asana Math"/>
                </w:rPr>
                <m:t>C</m:t>
              </m:r>
            </m:e>
            <m:sub>
              <m:r>
                <m:rPr>
                  <m:sty m:val="p"/>
                </m:rPr>
                <w:rPr>
                  <w:rFonts w:ascii="Asana Math" w:hAnsi="Asana Math"/>
                </w:rPr>
                <m:t>SCN</m:t>
              </m:r>
            </m:sub>
          </m:sSub>
          <m:sSub>
            <m:sSubPr>
              <m:ctrlPr>
                <w:rPr>
                  <w:rFonts w:ascii="Asana Math" w:hAnsi="Asana Math"/>
                  <w:i/>
                </w:rPr>
              </m:ctrlPr>
            </m:sSubPr>
            <m:e>
              <m:r>
                <w:rPr>
                  <w:rFonts w:ascii="Asana Math" w:hAnsi="Asana Math"/>
                </w:rPr>
                <m:t>V</m:t>
              </m:r>
            </m:e>
            <m:sub>
              <m:r>
                <m:rPr>
                  <m:sty m:val="p"/>
                </m:rPr>
                <w:rPr>
                  <w:rFonts w:ascii="Asana Math" w:hAnsi="Asana Math"/>
                </w:rPr>
                <m:t>éq</m:t>
              </m:r>
            </m:sub>
          </m:sSub>
          <m:r>
            <m:rPr>
              <m:sty m:val="p"/>
            </m:rPr>
            <w:rPr>
              <w:rFonts w:ascii="Asana Math" w:hAnsi="Asana Math"/>
            </w:rPr>
            <w:br/>
          </m:r>
        </m:oMath>
      </m:oMathPara>
      <w:r>
        <w:t>d’où l’on tire</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63"/>
        <w:gridCol w:w="8505"/>
        <w:gridCol w:w="1063"/>
      </w:tblGrid>
      <w:tr w:rsidR="000712B4" w14:paraId="5B14741E" w14:textId="77777777" w:rsidTr="0006291A">
        <w:tc>
          <w:tcPr>
            <w:tcW w:w="500" w:type="pct"/>
            <w:vAlign w:val="center"/>
          </w:tcPr>
          <w:p w14:paraId="76A15454" w14:textId="77777777" w:rsidR="000712B4" w:rsidRDefault="000712B4" w:rsidP="0006291A">
            <w:pPr>
              <w:pStyle w:val="Corpsreprise"/>
            </w:pPr>
          </w:p>
        </w:tc>
        <w:tc>
          <w:tcPr>
            <w:tcW w:w="4000" w:type="pct"/>
            <w:vAlign w:val="center"/>
          </w:tcPr>
          <w:p w14:paraId="262CFFF8" w14:textId="77777777" w:rsidR="000712B4" w:rsidRDefault="000712B4" w:rsidP="0006291A">
            <w:pPr>
              <w:pStyle w:val="Corpsreprise"/>
            </w:pPr>
            <m:oMathPara>
              <m:oMath>
                <m:sSub>
                  <m:sSubPr>
                    <m:ctrlPr>
                      <w:rPr>
                        <w:rFonts w:ascii="Asana Math" w:hAnsi="Asana Math"/>
                        <w:i/>
                      </w:rPr>
                    </m:ctrlPr>
                  </m:sSubPr>
                  <m:e>
                    <m:r>
                      <w:rPr>
                        <w:rFonts w:ascii="Asana Math" w:hAnsi="Asana Math"/>
                      </w:rPr>
                      <m:t>C</m:t>
                    </m:r>
                  </m:e>
                  <m:sub>
                    <m:r>
                      <m:rPr>
                        <m:sty m:val="p"/>
                      </m:rPr>
                      <w:rPr>
                        <w:rFonts w:ascii="Asana Math" w:hAnsi="Asana Math"/>
                      </w:rPr>
                      <m:t>Cl</m:t>
                    </m:r>
                  </m:sub>
                </m:sSub>
                <m:r>
                  <m:rPr>
                    <m:sty m:val="p"/>
                  </m:rPr>
                  <w:rPr>
                    <w:rFonts w:ascii="Asana Math" w:hAnsi="Asana Math"/>
                  </w:rPr>
                  <m:t>=</m:t>
                </m:r>
                <m:f>
                  <m:fPr>
                    <m:ctrlPr>
                      <w:rPr>
                        <w:rFonts w:ascii="Asana Math" w:hAnsi="Asana Math"/>
                        <w:i/>
                      </w:rPr>
                    </m:ctrlPr>
                  </m:fPr>
                  <m:num>
                    <m:sSub>
                      <m:sSubPr>
                        <m:ctrlPr>
                          <w:rPr>
                            <w:rFonts w:ascii="Asana Math" w:hAnsi="Asana Math"/>
                            <w:i/>
                          </w:rPr>
                        </m:ctrlPr>
                      </m:sSubPr>
                      <m:e>
                        <m:r>
                          <w:rPr>
                            <w:rFonts w:ascii="Asana Math" w:hAnsi="Asana Math"/>
                          </w:rPr>
                          <m:t>C</m:t>
                        </m:r>
                      </m:e>
                      <m:sub>
                        <m:r>
                          <m:rPr>
                            <m:sty m:val="p"/>
                          </m:rPr>
                          <w:rPr>
                            <w:rFonts w:ascii="Asana Math" w:hAnsi="Asana Math"/>
                          </w:rPr>
                          <m:t>Ag</m:t>
                        </m:r>
                      </m:sub>
                    </m:sSub>
                    <m:sSub>
                      <m:sSubPr>
                        <m:ctrlPr>
                          <w:rPr>
                            <w:rFonts w:ascii="Asana Math" w:hAnsi="Asana Math"/>
                            <w:i/>
                          </w:rPr>
                        </m:ctrlPr>
                      </m:sSubPr>
                      <m:e>
                        <m:r>
                          <w:rPr>
                            <w:rFonts w:ascii="Asana Math" w:hAnsi="Asana Math"/>
                          </w:rPr>
                          <m:t>V</m:t>
                        </m:r>
                      </m:e>
                      <m:sub>
                        <m:r>
                          <m:rPr>
                            <m:sty m:val="p"/>
                          </m:rPr>
                          <w:rPr>
                            <w:rFonts w:ascii="Asana Math" w:hAnsi="Asana Math"/>
                          </w:rPr>
                          <m:t>Ag</m:t>
                        </m:r>
                      </m:sub>
                    </m:sSub>
                    <m:r>
                      <w:rPr>
                        <w:rFonts w:ascii="Asana Math" w:hAnsi="Asana Math"/>
                      </w:rPr>
                      <m:t>-</m:t>
                    </m:r>
                    <m:sSub>
                      <m:sSubPr>
                        <m:ctrlPr>
                          <w:rPr>
                            <w:rFonts w:ascii="Asana Math" w:hAnsi="Asana Math"/>
                            <w:i/>
                          </w:rPr>
                        </m:ctrlPr>
                      </m:sSubPr>
                      <m:e>
                        <m:r>
                          <w:rPr>
                            <w:rFonts w:ascii="Asana Math" w:hAnsi="Asana Math"/>
                          </w:rPr>
                          <m:t>C</m:t>
                        </m:r>
                      </m:e>
                      <m:sub>
                        <m:r>
                          <m:rPr>
                            <m:sty m:val="p"/>
                          </m:rPr>
                          <w:rPr>
                            <w:rFonts w:ascii="Asana Math" w:hAnsi="Asana Math"/>
                          </w:rPr>
                          <m:t>SCN</m:t>
                        </m:r>
                      </m:sub>
                    </m:sSub>
                    <m:sSub>
                      <m:sSubPr>
                        <m:ctrlPr>
                          <w:rPr>
                            <w:rFonts w:ascii="Asana Math" w:hAnsi="Asana Math"/>
                            <w:i/>
                          </w:rPr>
                        </m:ctrlPr>
                      </m:sSubPr>
                      <m:e>
                        <m:r>
                          <w:rPr>
                            <w:rFonts w:ascii="Asana Math" w:hAnsi="Asana Math"/>
                          </w:rPr>
                          <m:t>V</m:t>
                        </m:r>
                      </m:e>
                      <m:sub>
                        <m:r>
                          <m:rPr>
                            <m:sty m:val="p"/>
                          </m:rPr>
                          <w:rPr>
                            <w:rFonts w:ascii="Asana Math" w:hAnsi="Asana Math"/>
                          </w:rPr>
                          <m:t>éq</m:t>
                        </m:r>
                      </m:sub>
                    </m:sSub>
                  </m:num>
                  <m:den>
                    <m:sSub>
                      <m:sSubPr>
                        <m:ctrlPr>
                          <w:rPr>
                            <w:rFonts w:ascii="Asana Math" w:hAnsi="Asana Math"/>
                            <w:i/>
                          </w:rPr>
                        </m:ctrlPr>
                      </m:sSubPr>
                      <m:e>
                        <m:r>
                          <w:rPr>
                            <w:rFonts w:ascii="Asana Math" w:hAnsi="Asana Math"/>
                          </w:rPr>
                          <m:t>V</m:t>
                        </m:r>
                      </m:e>
                      <m:sub>
                        <m:r>
                          <m:rPr>
                            <m:sty m:val="p"/>
                          </m:rPr>
                          <w:rPr>
                            <w:rFonts w:ascii="Asana Math" w:hAnsi="Asana Math"/>
                          </w:rPr>
                          <m:t>Cl</m:t>
                        </m:r>
                      </m:sub>
                    </m:sSub>
                  </m:den>
                </m:f>
              </m:oMath>
            </m:oMathPara>
          </w:p>
        </w:tc>
        <w:tc>
          <w:tcPr>
            <w:tcW w:w="500" w:type="pct"/>
            <w:vAlign w:val="center"/>
          </w:tcPr>
          <w:p w14:paraId="2764A4D6" w14:textId="77777777" w:rsidR="000712B4" w:rsidRPr="00406673" w:rsidRDefault="000712B4" w:rsidP="0006291A">
            <w:pPr>
              <w:pStyle w:val="Corpsreprise"/>
              <w:jc w:val="right"/>
            </w:pPr>
            <w:bookmarkStart w:id="5" w:name="_Ref395391381"/>
            <w:r>
              <w:t>[</w:t>
            </w:r>
            <w:r w:rsidRPr="00406673">
              <w:fldChar w:fldCharType="begin"/>
            </w:r>
            <w:r w:rsidRPr="00406673">
              <w:instrText xml:space="preserve"> SEQ </w:instrText>
            </w:r>
            <w:r>
              <w:instrText>Équat</w:instrText>
            </w:r>
            <w:r w:rsidRPr="00406673">
              <w:instrText xml:space="preserve">ion \* Arabic \* Mergeformat </w:instrText>
            </w:r>
            <w:r w:rsidRPr="00406673">
              <w:fldChar w:fldCharType="separate"/>
            </w:r>
            <w:r>
              <w:rPr>
                <w:noProof/>
              </w:rPr>
              <w:t>2</w:t>
            </w:r>
            <w:r w:rsidRPr="00406673">
              <w:fldChar w:fldCharType="end"/>
            </w:r>
            <w:r>
              <w:t>]</w:t>
            </w:r>
            <w:bookmarkEnd w:id="5"/>
          </w:p>
        </w:tc>
      </w:tr>
    </w:tbl>
    <w:p w14:paraId="3AB77C97" w14:textId="77777777" w:rsidR="000712B4" w:rsidRPr="00FC2FAC" w:rsidRDefault="000712B4" w:rsidP="000712B4">
      <w:pPr>
        <w:pStyle w:val="Corpsdetexte"/>
      </w:pPr>
      <w:r>
        <w:t xml:space="preserve">L’application numérique donne </w:t>
      </w:r>
      <m:oMath>
        <m:sSub>
          <m:sSubPr>
            <m:ctrlPr>
              <w:rPr>
                <w:rFonts w:ascii="Asana Math" w:hAnsi="Asana Math"/>
                <w:i/>
              </w:rPr>
            </m:ctrlPr>
          </m:sSubPr>
          <m:e>
            <m:r>
              <w:rPr>
                <w:rFonts w:ascii="Asana Math" w:hAnsi="Asana Math"/>
              </w:rPr>
              <m:t>C</m:t>
            </m:r>
          </m:e>
          <m:sub>
            <m:r>
              <m:rPr>
                <m:sty m:val="p"/>
              </m:rPr>
              <w:rPr>
                <w:rFonts w:ascii="Asana Math" w:hAnsi="Asana Math"/>
              </w:rPr>
              <m:t>Cl</m:t>
            </m:r>
          </m:sub>
        </m:sSub>
        <m:r>
          <m:rPr>
            <m:sty m:val="p"/>
          </m:rPr>
          <w:rPr>
            <w:rFonts w:ascii="Asana Math" w:hAnsi="Asana Math"/>
          </w:rPr>
          <m:t>=6,4×</m:t>
        </m:r>
        <m:sSup>
          <m:sSupPr>
            <m:ctrlPr>
              <w:rPr>
                <w:rFonts w:ascii="Asana Math" w:hAnsi="Asana Math"/>
              </w:rPr>
            </m:ctrlPr>
          </m:sSupPr>
          <m:e>
            <m:r>
              <m:rPr>
                <m:sty m:val="p"/>
              </m:rPr>
              <w:rPr>
                <w:rFonts w:ascii="Asana Math" w:hAnsi="Asana Math"/>
              </w:rPr>
              <m:t>10</m:t>
            </m:r>
          </m:e>
          <m:sup>
            <m:r>
              <m:rPr>
                <m:sty m:val="p"/>
              </m:rPr>
              <w:rPr>
                <w:rFonts w:ascii="Asana Math" w:hAnsi="Asana Math"/>
              </w:rPr>
              <m:t>-2</m:t>
            </m:r>
          </m:sup>
        </m:sSup>
        <m:r>
          <m:rPr>
            <m:sty m:val="p"/>
          </m:rPr>
          <w:rPr>
            <w:rFonts w:ascii="Asana Math" w:hAnsi="Asana Math"/>
          </w:rPr>
          <m:t xml:space="preserve"> mol</m:t>
        </m:r>
        <m:r>
          <m:rPr>
            <m:nor/>
          </m:rPr>
          <w:rPr>
            <w:rFonts w:ascii="Cambria Math" w:hAnsi="Cambria Math" w:cs="Cambria Math"/>
          </w:rPr>
          <m:t>⋅</m:t>
        </m:r>
        <m:sSup>
          <m:sSupPr>
            <m:ctrlPr>
              <w:rPr>
                <w:rFonts w:ascii="Asana Math" w:hAnsi="Asana Math"/>
              </w:rPr>
            </m:ctrlPr>
          </m:sSupPr>
          <m:e>
            <m:r>
              <m:rPr>
                <m:sty m:val="p"/>
              </m:rPr>
              <w:rPr>
                <w:rFonts w:ascii="Asana Math" w:hAnsi="Asana Math"/>
              </w:rPr>
              <m:t>L</m:t>
            </m:r>
          </m:e>
          <m:sup>
            <m:r>
              <m:rPr>
                <m:sty m:val="p"/>
              </m:rPr>
              <w:rPr>
                <w:rFonts w:ascii="Asana Math" w:hAnsi="Asana Math"/>
              </w:rPr>
              <m:t>-1</m:t>
            </m:r>
          </m:sup>
        </m:sSup>
      </m:oMath>
      <w:bookmarkEnd w:id="3"/>
      <w:r>
        <w:t>.</w:t>
      </w:r>
    </w:p>
    <w:p w14:paraId="2C337098" w14:textId="77777777" w:rsidR="000712B4" w:rsidRDefault="000712B4" w:rsidP="000712B4">
      <w:pPr>
        <w:pStyle w:val="Corpsdetexte"/>
        <w:numPr>
          <w:ilvl w:val="2"/>
          <w:numId w:val="2"/>
        </w:numPr>
      </w:pPr>
      <w:r>
        <w:t>Le chlorure d’argent solide doit être éliminé par filtration car il est plus soluble que le thiocyanate d’argent et risque donc de réagir avec les ions thiocyanate au cours du dosage. En effet, la réaction correspondante, d’équation-bilan</w:t>
      </w:r>
      <w:r>
        <w:br/>
      </w:r>
      <m:oMathPara>
        <m:oMath>
          <m:sSub>
            <m:sSubPr>
              <m:ctrlPr>
                <w:rPr>
                  <w:rFonts w:ascii="Asana Math" w:hAnsi="Asana Math"/>
                </w:rPr>
              </m:ctrlPr>
            </m:sSubPr>
            <m:e>
              <m:r>
                <m:rPr>
                  <m:sty m:val="p"/>
                </m:rPr>
                <w:rPr>
                  <w:rFonts w:ascii="Asana Math" w:hAnsi="Asana Math"/>
                </w:rPr>
                <m:t>AgCl</m:t>
              </m:r>
            </m:e>
            <m:sub>
              <m:d>
                <m:dPr>
                  <m:ctrlPr>
                    <w:rPr>
                      <w:rFonts w:ascii="Asana Math" w:hAnsi="Asana Math"/>
                    </w:rPr>
                  </m:ctrlPr>
                </m:dPr>
                <m:e>
                  <m:r>
                    <m:rPr>
                      <m:sty m:val="p"/>
                    </m:rPr>
                    <w:rPr>
                      <w:rFonts w:ascii="Asana Math" w:hAnsi="Asana Math"/>
                    </w:rPr>
                    <m:t>s</m:t>
                  </m:r>
                </m:e>
              </m:d>
            </m:sub>
          </m:sSub>
          <m:r>
            <w:rPr>
              <w:rFonts w:ascii="Asana Math" w:hAnsi="Asana Math"/>
            </w:rPr>
            <m:t>+</m:t>
          </m:r>
          <m:sSup>
            <m:sSupPr>
              <m:ctrlPr>
                <w:rPr>
                  <w:rFonts w:ascii="Asana Math" w:hAnsi="Asana Math"/>
                </w:rPr>
              </m:ctrlPr>
            </m:sSupPr>
            <m:e>
              <m:r>
                <m:rPr>
                  <m:sty m:val="p"/>
                </m:rPr>
                <w:rPr>
                  <w:rFonts w:ascii="Asana Math" w:hAnsi="Asana Math"/>
                </w:rPr>
                <m:t>SCN</m:t>
              </m:r>
            </m:e>
            <m:sup>
              <m:r>
                <m:rPr>
                  <m:sty m:val="p"/>
                </m:rPr>
                <w:rPr>
                  <w:rFonts w:ascii="Asana Math" w:hAnsi="Asana Math"/>
                </w:rPr>
                <m:t>-</m:t>
              </m:r>
            </m:sup>
          </m:sSup>
          <m:r>
            <w:rPr>
              <w:rFonts w:ascii="Asana Math" w:hAnsi="Asana Math"/>
            </w:rPr>
            <m:t>=</m:t>
          </m:r>
          <m:sSub>
            <m:sSubPr>
              <m:ctrlPr>
                <w:rPr>
                  <w:rFonts w:ascii="Asana Math" w:hAnsi="Asana Math"/>
                </w:rPr>
              </m:ctrlPr>
            </m:sSubPr>
            <m:e>
              <m:r>
                <m:rPr>
                  <m:sty m:val="p"/>
                </m:rPr>
                <w:rPr>
                  <w:rFonts w:ascii="Asana Math" w:hAnsi="Asana Math"/>
                </w:rPr>
                <m:t>AgSCN</m:t>
              </m:r>
            </m:e>
            <m:sub>
              <m:d>
                <m:dPr>
                  <m:ctrlPr>
                    <w:rPr>
                      <w:rFonts w:ascii="Asana Math" w:hAnsi="Asana Math"/>
                    </w:rPr>
                  </m:ctrlPr>
                </m:dPr>
                <m:e>
                  <m:r>
                    <m:rPr>
                      <m:sty m:val="p"/>
                    </m:rPr>
                    <w:rPr>
                      <w:rFonts w:ascii="Asana Math" w:hAnsi="Asana Math"/>
                    </w:rPr>
                    <m:t>s</m:t>
                  </m:r>
                </m:e>
              </m:d>
            </m:sub>
          </m:sSub>
          <m:r>
            <m:rPr>
              <m:sty m:val="p"/>
            </m:rPr>
            <w:rPr>
              <w:rFonts w:ascii="Asana Math" w:hAnsi="Asana Math"/>
            </w:rPr>
            <m:t>+</m:t>
          </m:r>
          <m:sSup>
            <m:sSupPr>
              <m:ctrlPr>
                <w:rPr>
                  <w:rFonts w:ascii="Asana Math" w:hAnsi="Asana Math"/>
                </w:rPr>
              </m:ctrlPr>
            </m:sSupPr>
            <m:e>
              <m:r>
                <m:rPr>
                  <m:sty m:val="p"/>
                </m:rPr>
                <w:rPr>
                  <w:rFonts w:ascii="Asana Math" w:hAnsi="Asana Math"/>
                </w:rPr>
                <m:t>Cl</m:t>
              </m:r>
            </m:e>
            <m:sup>
              <m:r>
                <m:rPr>
                  <m:sty m:val="p"/>
                </m:rPr>
                <w:rPr>
                  <w:rFonts w:ascii="Asana Math" w:hAnsi="Asana Math"/>
                </w:rPr>
                <m:t>-</m:t>
              </m:r>
            </m:sup>
          </m:sSup>
          <m:r>
            <m:rPr>
              <m:sty m:val="p"/>
            </m:rPr>
            <w:rPr>
              <w:rFonts w:ascii="Asana Math" w:hAnsi="Asana Math"/>
            </w:rPr>
            <w:br/>
          </m:r>
        </m:oMath>
      </m:oMathPara>
      <w:r>
        <w:t>a pour constante d’équilibre</w:t>
      </w:r>
      <w:r>
        <w:br/>
      </w:r>
      <m:oMathPara>
        <m:oMath>
          <m:sSup>
            <m:sSupPr>
              <m:ctrlPr>
                <w:rPr>
                  <w:rFonts w:ascii="Asana Math" w:hAnsi="Asana Math"/>
                  <w:i/>
                </w:rPr>
              </m:ctrlPr>
            </m:sSupPr>
            <m:e>
              <m:r>
                <w:rPr>
                  <w:rFonts w:ascii="Asana Math" w:hAnsi="Asana Math"/>
                </w:rPr>
                <m:t>K</m:t>
              </m:r>
            </m:e>
            <m:sup>
              <m:r>
                <w:rPr>
                  <w:rFonts w:ascii="Asana Math" w:hAnsi="Asana Math"/>
                </w:rPr>
                <m:t>'</m:t>
              </m:r>
            </m:sup>
          </m:sSup>
          <m:r>
            <w:rPr>
              <w:rFonts w:ascii="Asana Math" w:hAnsi="Asana Math"/>
            </w:rPr>
            <m:t>=</m:t>
          </m:r>
          <m:f>
            <m:fPr>
              <m:ctrlPr>
                <w:rPr>
                  <w:rFonts w:ascii="Asana Math" w:hAnsi="Asana Math"/>
                  <w:i/>
                </w:rPr>
              </m:ctrlPr>
            </m:fPr>
            <m:num>
              <m:sSub>
                <m:sSubPr>
                  <m:ctrlPr>
                    <w:rPr>
                      <w:rFonts w:ascii="Asana Math" w:hAnsi="Asana Math"/>
                      <w:i/>
                    </w:rPr>
                  </m:ctrlPr>
                </m:sSubPr>
                <m:e>
                  <m:r>
                    <w:rPr>
                      <w:rFonts w:ascii="Asana Math" w:hAnsi="Asana Math"/>
                    </w:rPr>
                    <m:t>K</m:t>
                  </m:r>
                </m:e>
                <m:sub>
                  <m:r>
                    <m:rPr>
                      <m:sty m:val="p"/>
                    </m:rPr>
                    <w:rPr>
                      <w:rFonts w:ascii="Asana Math" w:hAnsi="Asana Math"/>
                    </w:rPr>
                    <m:t>s</m:t>
                  </m:r>
                  <m:ctrlPr>
                    <w:rPr>
                      <w:rFonts w:ascii="Asana Math" w:hAnsi="Asana Math"/>
                    </w:rPr>
                  </m:ctrlPr>
                </m:sub>
              </m:sSub>
              <m:d>
                <m:dPr>
                  <m:ctrlPr>
                    <w:rPr>
                      <w:rFonts w:ascii="Asana Math" w:hAnsi="Asana Math"/>
                      <w:i/>
                    </w:rPr>
                  </m:ctrlPr>
                </m:dPr>
                <m:e>
                  <m:r>
                    <m:rPr>
                      <m:sty m:val="p"/>
                    </m:rPr>
                    <w:rPr>
                      <w:rFonts w:ascii="Asana Math" w:hAnsi="Asana Math"/>
                    </w:rPr>
                    <m:t>AgCl</m:t>
                  </m:r>
                </m:e>
              </m:d>
            </m:num>
            <m:den>
              <m:sSub>
                <m:sSubPr>
                  <m:ctrlPr>
                    <w:rPr>
                      <w:rFonts w:ascii="Asana Math" w:hAnsi="Asana Math"/>
                      <w:i/>
                    </w:rPr>
                  </m:ctrlPr>
                </m:sSubPr>
                <m:e>
                  <m:r>
                    <w:rPr>
                      <w:rFonts w:ascii="Asana Math" w:hAnsi="Asana Math"/>
                    </w:rPr>
                    <m:t>K</m:t>
                  </m:r>
                </m:e>
                <m:sub>
                  <m:r>
                    <m:rPr>
                      <m:sty m:val="p"/>
                    </m:rPr>
                    <w:rPr>
                      <w:rFonts w:ascii="Asana Math" w:hAnsi="Asana Math"/>
                    </w:rPr>
                    <m:t>s</m:t>
                  </m:r>
                </m:sub>
              </m:sSub>
              <m:d>
                <m:dPr>
                  <m:ctrlPr>
                    <w:rPr>
                      <w:rFonts w:ascii="Asana Math" w:hAnsi="Asana Math"/>
                      <w:i/>
                    </w:rPr>
                  </m:ctrlPr>
                </m:dPr>
                <m:e>
                  <m:r>
                    <m:rPr>
                      <m:sty m:val="p"/>
                    </m:rPr>
                    <w:rPr>
                      <w:rFonts w:ascii="Asana Math" w:hAnsi="Asana Math"/>
                    </w:rPr>
                    <m:t>AgSCN</m:t>
                  </m:r>
                </m:e>
              </m:d>
            </m:den>
          </m:f>
          <m:r>
            <w:rPr>
              <w:rFonts w:ascii="Asana Math" w:hAnsi="Asana Math"/>
            </w:rPr>
            <m:t>=</m:t>
          </m:r>
          <m:sSup>
            <m:sSupPr>
              <m:ctrlPr>
                <w:rPr>
                  <w:rFonts w:ascii="Asana Math" w:hAnsi="Asana Math"/>
                  <w:i/>
                </w:rPr>
              </m:ctrlPr>
            </m:sSupPr>
            <m:e>
              <m:r>
                <w:rPr>
                  <w:rFonts w:ascii="Asana Math" w:hAnsi="Asana Math"/>
                </w:rPr>
                <m:t>10</m:t>
              </m:r>
            </m:e>
            <m:sup>
              <m:r>
                <w:rPr>
                  <w:rFonts w:ascii="Asana Math" w:hAnsi="Asana Math"/>
                </w:rPr>
                <m:t>2,15</m:t>
              </m:r>
            </m:sup>
          </m:sSup>
          <m:r>
            <m:rPr>
              <m:sty m:val="p"/>
            </m:rPr>
            <w:rPr>
              <w:rFonts w:ascii="Asana Math" w:hAnsi="Asana Math"/>
            </w:rPr>
            <w:br/>
          </m:r>
        </m:oMath>
      </m:oMathPara>
      <w:r>
        <w:t>ce qui suffirait à fausser le résultat du dosage</w:t>
      </w:r>
      <w:r>
        <w:rPr>
          <w:rStyle w:val="Appelnotedebasdep"/>
        </w:rPr>
        <w:footnoteReference w:id="2"/>
      </w:r>
      <w:r>
        <w:t>.</w:t>
      </w:r>
    </w:p>
    <w:p w14:paraId="4C73327D" w14:textId="77777777" w:rsidR="000712B4" w:rsidRDefault="000712B4" w:rsidP="000712B4">
      <w:pPr>
        <w:pStyle w:val="Corpsdetexte"/>
      </w:pPr>
      <w:r>
        <w:t xml:space="preserve">Cette réaction parasite est susceptible de consommer une partie du réactif titrant ajouté, ce qui entraînerait un virage de la solution plus tardif et une surestimation du volume à l’équivalence, donc une sous-estimation de la quantité résiduelle d’ions chlorure d’après l’équation </w:t>
      </w:r>
      <w:r>
        <w:fldChar w:fldCharType="begin"/>
      </w:r>
      <w:r>
        <w:instrText xml:space="preserve"> REF _Ref395391381 \h </w:instrText>
      </w:r>
      <w:r>
        <w:fldChar w:fldCharType="separate"/>
      </w:r>
      <w:r>
        <w:t>[</w:t>
      </w:r>
      <w:r>
        <w:rPr>
          <w:noProof/>
        </w:rPr>
        <w:t>2</w:t>
      </w:r>
      <w:r>
        <w:t>]</w:t>
      </w:r>
      <w:r>
        <w:fldChar w:fldCharType="end"/>
      </w:r>
      <w:r>
        <w:t>.</w:t>
      </w:r>
    </w:p>
    <w:p w14:paraId="7A64B2E2" w14:textId="77777777" w:rsidR="000712B4" w:rsidRDefault="000712B4" w:rsidP="000712B4">
      <w:pPr>
        <w:pStyle w:val="Corpsdetexte"/>
        <w:numPr>
          <w:ilvl w:val="2"/>
          <w:numId w:val="2"/>
        </w:numPr>
      </w:pPr>
      <w:r>
        <w:t xml:space="preserve">La quantité d’indicateur coloré influe sur l’erreur </w:t>
      </w:r>
      <m:oMath>
        <m:r>
          <m:rPr>
            <m:sty m:val="p"/>
          </m:rPr>
          <w:rPr>
            <w:rFonts w:ascii="Asana Math" w:hAnsi="Asana Math"/>
          </w:rPr>
          <m:t>Δ</m:t>
        </m:r>
        <m:r>
          <w:rPr>
            <w:rFonts w:ascii="Asana Math" w:hAnsi="Asana Math"/>
          </w:rPr>
          <m:t>V=</m:t>
        </m:r>
        <m:sSub>
          <m:sSubPr>
            <m:ctrlPr>
              <w:rPr>
                <w:rFonts w:ascii="Asana Math" w:hAnsi="Asana Math"/>
                <w:i/>
              </w:rPr>
            </m:ctrlPr>
          </m:sSubPr>
          <m:e>
            <m:r>
              <w:rPr>
                <w:rFonts w:ascii="Asana Math" w:hAnsi="Asana Math"/>
              </w:rPr>
              <m:t>V</m:t>
            </m:r>
          </m:e>
          <m:sub>
            <m:r>
              <m:rPr>
                <m:sty m:val="p"/>
              </m:rPr>
              <w:rPr>
                <w:rFonts w:ascii="Asana Math" w:hAnsi="Asana Math"/>
              </w:rPr>
              <m:t>virage</m:t>
            </m:r>
          </m:sub>
        </m:sSub>
        <m:r>
          <m:rPr>
            <m:sty m:val="p"/>
          </m:rPr>
          <w:rPr>
            <w:rFonts w:ascii="Asana Math" w:hAnsi="Asana Math"/>
          </w:rPr>
          <m:t>-</m:t>
        </m:r>
        <m:sSub>
          <m:sSubPr>
            <m:ctrlPr>
              <w:rPr>
                <w:rFonts w:ascii="Asana Math" w:hAnsi="Asana Math"/>
                <w:i/>
              </w:rPr>
            </m:ctrlPr>
          </m:sSubPr>
          <m:e>
            <m:r>
              <w:rPr>
                <w:rFonts w:ascii="Asana Math" w:hAnsi="Asana Math"/>
              </w:rPr>
              <m:t>V</m:t>
            </m:r>
            <m:ctrlPr>
              <w:rPr>
                <w:rFonts w:ascii="Asana Math" w:hAnsi="Asana Math"/>
              </w:rPr>
            </m:ctrlPr>
          </m:e>
          <m:sub>
            <m:r>
              <m:rPr>
                <m:sty m:val="p"/>
              </m:rPr>
              <w:rPr>
                <w:rFonts w:ascii="Asana Math" w:hAnsi="Asana Math"/>
              </w:rPr>
              <m:t>éq</m:t>
            </m:r>
          </m:sub>
        </m:sSub>
      </m:oMath>
      <w:r>
        <w:t xml:space="preserve"> commise en assimilant le volume </w:t>
      </w:r>
      <m:oMath>
        <m:sSub>
          <m:sSubPr>
            <m:ctrlPr>
              <w:rPr>
                <w:rFonts w:ascii="Asana Math" w:hAnsi="Asana Math"/>
                <w:i/>
              </w:rPr>
            </m:ctrlPr>
          </m:sSubPr>
          <m:e>
            <m:r>
              <w:rPr>
                <w:rFonts w:ascii="Asana Math" w:hAnsi="Asana Math"/>
              </w:rPr>
              <m:t>V</m:t>
            </m:r>
          </m:e>
          <m:sub>
            <m:r>
              <m:rPr>
                <m:sty m:val="p"/>
              </m:rPr>
              <w:rPr>
                <w:rFonts w:ascii="Asana Math" w:hAnsi="Asana Math"/>
              </w:rPr>
              <m:t>virage</m:t>
            </m:r>
          </m:sub>
        </m:sSub>
      </m:oMath>
      <w:r>
        <w:t xml:space="preserve"> versé lors de l’apparition de la coloration rouge sang au volume à l’équivalence. Ce volume </w:t>
      </w:r>
      <m:oMath>
        <m:sSub>
          <m:sSubPr>
            <m:ctrlPr>
              <w:rPr>
                <w:rFonts w:ascii="Asana Math" w:hAnsi="Asana Math"/>
                <w:i/>
              </w:rPr>
            </m:ctrlPr>
          </m:sSubPr>
          <m:e>
            <m:r>
              <w:rPr>
                <w:rFonts w:ascii="Asana Math" w:hAnsi="Asana Math"/>
              </w:rPr>
              <m:t>V</m:t>
            </m:r>
          </m:e>
          <m:sub>
            <m:r>
              <m:rPr>
                <m:sty m:val="p"/>
              </m:rPr>
              <w:rPr>
                <w:rFonts w:ascii="Asana Math" w:hAnsi="Asana Math"/>
              </w:rPr>
              <m:t>virage</m:t>
            </m:r>
          </m:sub>
        </m:sSub>
      </m:oMath>
      <w:r>
        <w:t xml:space="preserve"> correspond à l’obtention de la concentration seuil </w:t>
      </w:r>
      <m:oMath>
        <m:sSub>
          <m:sSubPr>
            <m:ctrlPr>
              <w:rPr>
                <w:rFonts w:ascii="Asana Math" w:hAnsi="Asana Math"/>
                <w:i/>
              </w:rPr>
            </m:ctrlPr>
          </m:sSubPr>
          <m:e>
            <m:r>
              <w:rPr>
                <w:rFonts w:ascii="Asana Math" w:hAnsi="Asana Math"/>
              </w:rPr>
              <m:t>C</m:t>
            </m:r>
          </m:e>
          <m:sub>
            <m:r>
              <m:rPr>
                <m:sty m:val="p"/>
              </m:rPr>
              <w:rPr>
                <w:rFonts w:ascii="Asana Math" w:hAnsi="Asana Math"/>
              </w:rPr>
              <m:t>s</m:t>
            </m:r>
          </m:sub>
        </m:sSub>
      </m:oMath>
      <w:r>
        <w:t xml:space="preserve"> en ions thiocyanatofer (III) en-deçà de laquelle la coloration n’est pas visible à l’œil nu. Il faut donc que la quantité d’indicateur coloré soit suffisante pour que </w:t>
      </w:r>
      <m:oMath>
        <m:sSub>
          <m:sSubPr>
            <m:ctrlPr>
              <w:rPr>
                <w:rFonts w:ascii="Asana Math" w:hAnsi="Asana Math"/>
                <w:i/>
              </w:rPr>
            </m:ctrlPr>
          </m:sSubPr>
          <m:e>
            <m:r>
              <w:rPr>
                <w:rFonts w:ascii="Asana Math" w:hAnsi="Asana Math"/>
              </w:rPr>
              <m:t>C</m:t>
            </m:r>
          </m:e>
          <m:sub>
            <m:r>
              <m:rPr>
                <m:sty m:val="p"/>
              </m:rPr>
              <w:rPr>
                <w:rFonts w:ascii="Asana Math" w:hAnsi="Asana Math"/>
              </w:rPr>
              <m:t>s</m:t>
            </m:r>
          </m:sub>
        </m:sSub>
      </m:oMath>
      <w:r>
        <w:t xml:space="preserve"> puisse être atteinte tout près de l’équivalence, mais qu’elle ne soit pas trop élevée pour ne pas perturber le dosage en entrant en compétition avec la réaction de précipitation.</w:t>
      </w:r>
    </w:p>
    <w:p w14:paraId="1359E170" w14:textId="5387B9E8" w:rsidR="000712B4" w:rsidRDefault="000712B4" w:rsidP="000712B4">
      <w:pPr>
        <w:rPr>
          <w:b/>
          <w:bCs/>
        </w:rPr>
      </w:pPr>
    </w:p>
    <w:p w14:paraId="1233C0AF" w14:textId="77777777" w:rsidR="000712B4" w:rsidRDefault="000712B4" w:rsidP="000712B4">
      <w:pPr>
        <w:pStyle w:val="Titre3"/>
      </w:pPr>
      <w:r>
        <w:t>Dosage de l’eau dans un liquide ionique</w:t>
      </w:r>
      <w:bookmarkStart w:id="6" w:name="_Ref396338392"/>
      <w:r>
        <w:rPr>
          <w:rStyle w:val="Appelnotedebasdep"/>
        </w:rPr>
        <w:footnoteReference w:id="3"/>
      </w:r>
      <w:bookmarkEnd w:id="6"/>
    </w:p>
    <w:p w14:paraId="6B6CDAB8" w14:textId="77777777" w:rsidR="000712B4" w:rsidRDefault="000712B4" w:rsidP="000712B4">
      <w:pPr>
        <w:pStyle w:val="Corpsdetexte"/>
        <w:numPr>
          <w:ilvl w:val="2"/>
          <w:numId w:val="2"/>
        </w:numPr>
      </w:pPr>
      <w:r>
        <w:t>La pyridine est une base faible</w:t>
      </w:r>
      <w:r>
        <w:rPr>
          <w:rStyle w:val="Appelnotedebasdep"/>
        </w:rPr>
        <w:footnoteReference w:id="4"/>
      </w:r>
      <w:r>
        <w:t xml:space="preserve"> qui réagit avec les protons formés</w:t>
      </w:r>
      <w:r>
        <w:rPr>
          <w:rStyle w:val="Appelnotedebasdep"/>
        </w:rPr>
        <w:footnoteReference w:id="5"/>
      </w:r>
      <w:r>
        <w:t xml:space="preserve"> selon la réaction d’équation-bilan</w:t>
      </w:r>
      <w:r>
        <w:br/>
      </w:r>
      <m:oMathPara>
        <m:oMath>
          <m:sSub>
            <m:sSubPr>
              <m:ctrlPr>
                <w:rPr>
                  <w:rFonts w:ascii="Asana Math" w:hAnsi="Asana Math"/>
                </w:rPr>
              </m:ctrlPr>
            </m:sSubPr>
            <m:e>
              <m:r>
                <m:rPr>
                  <m:sty m:val="p"/>
                </m:rPr>
                <w:rPr>
                  <w:rFonts w:ascii="Asana Math" w:hAnsi="Asana Math"/>
                </w:rPr>
                <m:t>C</m:t>
              </m:r>
            </m:e>
            <m:sub>
              <m:r>
                <m:rPr>
                  <m:sty m:val="p"/>
                </m:rPr>
                <w:rPr>
                  <w:rFonts w:ascii="Asana Math" w:hAnsi="Asana Math"/>
                </w:rPr>
                <m:t>6</m:t>
              </m:r>
            </m:sub>
          </m:sSub>
          <m:sSub>
            <m:sSubPr>
              <m:ctrlPr>
                <w:rPr>
                  <w:rFonts w:ascii="Asana Math" w:hAnsi="Asana Math"/>
                </w:rPr>
              </m:ctrlPr>
            </m:sSubPr>
            <m:e>
              <m:r>
                <m:rPr>
                  <m:sty m:val="p"/>
                </m:rPr>
                <w:rPr>
                  <w:rFonts w:ascii="Asana Math" w:hAnsi="Asana Math"/>
                </w:rPr>
                <m:t>H</m:t>
              </m:r>
            </m:e>
            <m:sub>
              <m:r>
                <m:rPr>
                  <m:sty m:val="p"/>
                </m:rPr>
                <w:rPr>
                  <w:rFonts w:ascii="Asana Math" w:hAnsi="Asana Math"/>
                </w:rPr>
                <m:t>5</m:t>
              </m:r>
            </m:sub>
          </m:sSub>
          <m:r>
            <m:rPr>
              <m:sty m:val="p"/>
            </m:rPr>
            <w:rPr>
              <w:rFonts w:ascii="Asana Math" w:hAnsi="Asana Math"/>
            </w:rPr>
            <m:t>N+</m:t>
          </m:r>
          <m:sSup>
            <m:sSupPr>
              <m:ctrlPr>
                <w:rPr>
                  <w:rFonts w:ascii="Asana Math" w:hAnsi="Asana Math"/>
                </w:rPr>
              </m:ctrlPr>
            </m:sSupPr>
            <m:e>
              <m:r>
                <m:rPr>
                  <m:sty m:val="p"/>
                </m:rPr>
                <w:rPr>
                  <w:rFonts w:ascii="Asana Math" w:hAnsi="Asana Math"/>
                </w:rPr>
                <m:t>H</m:t>
              </m:r>
            </m:e>
            <m:sup>
              <m:r>
                <m:rPr>
                  <m:sty m:val="p"/>
                </m:rPr>
                <w:rPr>
                  <w:rFonts w:ascii="Asana Math" w:hAnsi="Asana Math"/>
                </w:rPr>
                <m:t>+</m:t>
              </m:r>
            </m:sup>
          </m:sSup>
          <m:r>
            <m:rPr>
              <m:sty m:val="p"/>
            </m:rPr>
            <w:rPr>
              <w:rFonts w:ascii="Asana Math" w:hAnsi="Asana Math"/>
            </w:rPr>
            <m:t>=</m:t>
          </m:r>
          <m:sSub>
            <m:sSubPr>
              <m:ctrlPr>
                <w:rPr>
                  <w:rFonts w:ascii="Asana Math" w:hAnsi="Asana Math"/>
                </w:rPr>
              </m:ctrlPr>
            </m:sSubPr>
            <m:e>
              <m:r>
                <m:rPr>
                  <m:sty m:val="p"/>
                </m:rPr>
                <w:rPr>
                  <w:rFonts w:ascii="Asana Math" w:hAnsi="Asana Math"/>
                </w:rPr>
                <m:t>C</m:t>
              </m:r>
            </m:e>
            <m:sub>
              <m:r>
                <m:rPr>
                  <m:sty m:val="p"/>
                </m:rPr>
                <w:rPr>
                  <w:rFonts w:ascii="Asana Math" w:hAnsi="Asana Math"/>
                </w:rPr>
                <m:t>6</m:t>
              </m:r>
            </m:sub>
          </m:sSub>
          <m:sSub>
            <m:sSubPr>
              <m:ctrlPr>
                <w:rPr>
                  <w:rFonts w:ascii="Asana Math" w:hAnsi="Asana Math"/>
                </w:rPr>
              </m:ctrlPr>
            </m:sSubPr>
            <m:e>
              <m:r>
                <m:rPr>
                  <m:sty m:val="p"/>
                </m:rPr>
                <w:rPr>
                  <w:rFonts w:ascii="Asana Math" w:hAnsi="Asana Math"/>
                </w:rPr>
                <m:t>H</m:t>
              </m:r>
            </m:e>
            <m:sub>
              <m:r>
                <m:rPr>
                  <m:sty m:val="p"/>
                </m:rPr>
                <w:rPr>
                  <w:rFonts w:ascii="Asana Math" w:hAnsi="Asana Math"/>
                </w:rPr>
                <m:t>5</m:t>
              </m:r>
            </m:sub>
          </m:sSub>
          <m:sSup>
            <m:sSupPr>
              <m:ctrlPr>
                <w:rPr>
                  <w:rFonts w:ascii="Asana Math" w:hAnsi="Asana Math"/>
                </w:rPr>
              </m:ctrlPr>
            </m:sSupPr>
            <m:e>
              <m:r>
                <m:rPr>
                  <m:sty m:val="p"/>
                </m:rPr>
                <w:rPr>
                  <w:rFonts w:ascii="Asana Math" w:hAnsi="Asana Math"/>
                </w:rPr>
                <m:t>NH</m:t>
              </m:r>
            </m:e>
            <m:sup>
              <m:r>
                <m:rPr>
                  <m:sty m:val="p"/>
                </m:rPr>
                <w:rPr>
                  <w:rFonts w:ascii="Asana Math" w:hAnsi="Asana Math"/>
                </w:rPr>
                <m:t>+</m:t>
              </m:r>
            </m:sup>
          </m:sSup>
          <m:r>
            <m:rPr>
              <m:sty m:val="p"/>
            </m:rPr>
            <w:br/>
          </m:r>
        </m:oMath>
      </m:oMathPara>
      <w:r>
        <w:t>En considérant que l’ion iodure formé intervient comme contre-ion, l’espèce obtenue est donc l’iodure de pyridinium, dont la structure est donnée ci-dessous :</w:t>
      </w:r>
    </w:p>
    <w:p w14:paraId="4A0FA474" w14:textId="77777777" w:rsidR="000712B4" w:rsidRDefault="000712B4" w:rsidP="000712B4">
      <w:pPr>
        <w:pStyle w:val="Figure"/>
      </w:pPr>
      <w:r>
        <w:object w:dxaOrig="2035" w:dyaOrig="783" w14:anchorId="3EE50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02.5pt;height:39pt" o:ole="">
            <v:imagedata r:id="rId31" o:title=""/>
          </v:shape>
          <o:OLEObject Type="Embed" ProgID="ChemDraw.Document.6.0" ShapeID="_x0000_i1034" DrawAspect="Content" ObjectID="_1728332667" r:id="rId32"/>
        </w:object>
      </w:r>
    </w:p>
    <w:p w14:paraId="5524C749" w14:textId="77777777" w:rsidR="000712B4" w:rsidRDefault="000712B4" w:rsidP="000712B4">
      <w:pPr>
        <w:pStyle w:val="Corpsdetexte"/>
      </w:pPr>
      <w:r>
        <w:t xml:space="preserve">Le trioxyde de soufre formé peut également réagir avec la pyridine pour former un complexe acide/base de </w:t>
      </w:r>
      <w:r w:rsidRPr="00101BAB">
        <w:rPr>
          <w:rStyle w:val="Rfrencelgre"/>
        </w:rPr>
        <w:t>Lewis</w:t>
      </w:r>
      <w:r>
        <w:rPr>
          <w:rStyle w:val="Appelnotedebasdep"/>
        </w:rPr>
        <w:footnoteReference w:id="6"/>
      </w:r>
      <w:r>
        <w:t> :</w:t>
      </w:r>
    </w:p>
    <w:p w14:paraId="7EFE30DB" w14:textId="77777777" w:rsidR="000712B4" w:rsidRDefault="000712B4" w:rsidP="000712B4">
      <w:pPr>
        <w:pStyle w:val="Figure"/>
      </w:pPr>
      <w:r>
        <w:object w:dxaOrig="5571" w:dyaOrig="1201" w14:anchorId="7365BF42">
          <v:shape id="_x0000_i1035" type="#_x0000_t75" style="width:279.5pt;height:59.5pt" o:ole="">
            <v:imagedata r:id="rId33" o:title=""/>
          </v:shape>
          <o:OLEObject Type="Embed" ProgID="ChemDraw.Document.6.0" ShapeID="_x0000_i1035" DrawAspect="Content" ObjectID="_1728332668" r:id="rId34"/>
        </w:object>
      </w:r>
    </w:p>
    <w:p w14:paraId="78A52CA1" w14:textId="77777777" w:rsidR="000712B4" w:rsidRPr="00577C8C" w:rsidRDefault="000712B4" w:rsidP="000712B4">
      <w:pPr>
        <w:pStyle w:val="Corpsdetexte"/>
        <w:numPr>
          <w:ilvl w:val="2"/>
          <w:numId w:val="2"/>
        </w:numPr>
      </w:pPr>
      <w:r>
        <w:t xml:space="preserve">La forte coloration brune du réactif de </w:t>
      </w:r>
      <w:r w:rsidRPr="008D49B0">
        <w:rPr>
          <w:rStyle w:val="Rfrencelgre"/>
        </w:rPr>
        <w:t>Karl-Fischer</w:t>
      </w:r>
      <w:r>
        <w:t xml:space="preserve"> étant due au diiode, la consommation de ce dernier lors du titrage doit permettre de n’observer de coloration que lorsque l’équivalence est atteinte. Il faut pour cela que la réaction ne soit pas limitée par le dioxyde de soufre, ce qui est facilement vérifié</w:t>
      </w:r>
      <w:r>
        <w:rPr>
          <w:rStyle w:val="Appelnotedebasdep"/>
        </w:rPr>
        <w:footnoteReference w:id="7"/>
      </w:r>
      <w:r>
        <w:t> :</w:t>
      </w:r>
      <w:r>
        <w:br/>
      </w:r>
      <m:oMathPara>
        <m:oMath>
          <m:m>
            <m:mPr>
              <m:mcs>
                <m:mc>
                  <m:mcPr>
                    <m:count m:val="3"/>
                    <m:mcJc m:val="center"/>
                  </m:mcPr>
                </m:mc>
              </m:mcs>
              <m:ctrlPr>
                <w:rPr>
                  <w:rFonts w:ascii="Asana Math" w:hAnsi="Asana Math"/>
                  <w:i/>
                </w:rPr>
              </m:ctrlPr>
            </m:mPr>
            <m:mr>
              <m:e>
                <m:sSub>
                  <m:sSubPr>
                    <m:ctrlPr>
                      <w:rPr>
                        <w:rFonts w:ascii="Asana Math" w:hAnsi="Asana Math"/>
                        <w:i/>
                      </w:rPr>
                    </m:ctrlPr>
                  </m:sSubPr>
                  <m:e>
                    <m:r>
                      <w:rPr>
                        <w:rFonts w:ascii="Asana Math" w:hAnsi="Asana Math"/>
                      </w:rPr>
                      <m:t>n</m:t>
                    </m:r>
                  </m:e>
                  <m:sub>
                    <m:sSub>
                      <m:sSubPr>
                        <m:ctrlPr>
                          <w:rPr>
                            <w:rFonts w:ascii="Asana Math" w:hAnsi="Asana Math"/>
                          </w:rPr>
                        </m:ctrlPr>
                      </m:sSubPr>
                      <m:e>
                        <m:r>
                          <m:rPr>
                            <m:sty m:val="p"/>
                          </m:rPr>
                          <w:rPr>
                            <w:rFonts w:ascii="Asana Math" w:hAnsi="Asana Math"/>
                          </w:rPr>
                          <m:t>I</m:t>
                        </m:r>
                      </m:e>
                      <m:sub>
                        <m:r>
                          <m:rPr>
                            <m:sty m:val="p"/>
                          </m:rPr>
                          <w:rPr>
                            <w:rFonts w:ascii="Asana Math" w:hAnsi="Asana Math"/>
                          </w:rPr>
                          <m:t>2</m:t>
                        </m:r>
                      </m:sub>
                    </m:sSub>
                  </m:sub>
                </m:sSub>
                <m:r>
                  <w:rPr>
                    <w:rFonts w:ascii="Asana Math" w:hAnsi="Asana Math"/>
                  </w:rPr>
                  <m:t>=</m:t>
                </m:r>
                <m:f>
                  <m:fPr>
                    <m:ctrlPr>
                      <w:rPr>
                        <w:rFonts w:ascii="Asana Math" w:hAnsi="Asana Math"/>
                        <w:i/>
                      </w:rPr>
                    </m:ctrlPr>
                  </m:fPr>
                  <m:num>
                    <m:sSub>
                      <m:sSubPr>
                        <m:ctrlPr>
                          <w:rPr>
                            <w:rFonts w:ascii="Asana Math" w:hAnsi="Asana Math"/>
                            <w:i/>
                          </w:rPr>
                        </m:ctrlPr>
                      </m:sSubPr>
                      <m:e>
                        <m:r>
                          <w:rPr>
                            <w:rFonts w:ascii="Asana Math" w:hAnsi="Asana Math"/>
                          </w:rPr>
                          <m:t>m</m:t>
                        </m:r>
                      </m:e>
                      <m:sub>
                        <m:sSub>
                          <m:sSubPr>
                            <m:ctrlPr>
                              <w:rPr>
                                <w:rFonts w:ascii="Asana Math" w:hAnsi="Asana Math"/>
                              </w:rPr>
                            </m:ctrlPr>
                          </m:sSubPr>
                          <m:e>
                            <m:r>
                              <m:rPr>
                                <m:sty m:val="p"/>
                              </m:rPr>
                              <w:rPr>
                                <w:rFonts w:ascii="Asana Math" w:hAnsi="Asana Math"/>
                              </w:rPr>
                              <m:t>I</m:t>
                            </m:r>
                            <m:ctrlPr>
                              <w:rPr>
                                <w:rFonts w:ascii="Asana Math" w:hAnsi="Asana Math"/>
                                <w:i/>
                              </w:rPr>
                            </m:ctrlPr>
                          </m:e>
                          <m:sub>
                            <m:r>
                              <m:rPr>
                                <m:sty m:val="p"/>
                              </m:rPr>
                              <w:rPr>
                                <w:rFonts w:ascii="Asana Math" w:hAnsi="Asana Math"/>
                              </w:rPr>
                              <m:t>2</m:t>
                            </m:r>
                          </m:sub>
                        </m:sSub>
                      </m:sub>
                    </m:sSub>
                  </m:num>
                  <m:den>
                    <m:sSub>
                      <m:sSubPr>
                        <m:ctrlPr>
                          <w:rPr>
                            <w:rFonts w:ascii="Asana Math" w:hAnsi="Asana Math"/>
                            <w:i/>
                          </w:rPr>
                        </m:ctrlPr>
                      </m:sSubPr>
                      <m:e>
                        <m:r>
                          <w:rPr>
                            <w:rFonts w:ascii="Asana Math" w:hAnsi="Asana Math"/>
                          </w:rPr>
                          <m:t>M</m:t>
                        </m:r>
                      </m:e>
                      <m:sub>
                        <m:sSub>
                          <m:sSubPr>
                            <m:ctrlPr>
                              <w:rPr>
                                <w:rFonts w:ascii="Asana Math" w:hAnsi="Asana Math"/>
                              </w:rPr>
                            </m:ctrlPr>
                          </m:sSubPr>
                          <m:e>
                            <m:r>
                              <m:rPr>
                                <m:sty m:val="p"/>
                              </m:rPr>
                              <w:rPr>
                                <w:rFonts w:ascii="Asana Math" w:hAnsi="Asana Math"/>
                              </w:rPr>
                              <m:t>I</m:t>
                            </m:r>
                          </m:e>
                          <m:sub>
                            <m:r>
                              <m:rPr>
                                <m:sty m:val="p"/>
                              </m:rPr>
                              <w:rPr>
                                <w:rFonts w:ascii="Asana Math" w:hAnsi="Asana Math"/>
                              </w:rPr>
                              <m:t>2</m:t>
                            </m:r>
                          </m:sub>
                        </m:sSub>
                      </m:sub>
                    </m:sSub>
                  </m:den>
                </m:f>
                <m:r>
                  <w:rPr>
                    <w:rFonts w:ascii="Asana Math" w:hAnsi="Asana Math"/>
                  </w:rPr>
                  <m:t>=3,35×</m:t>
                </m:r>
                <m:sSup>
                  <m:sSupPr>
                    <m:ctrlPr>
                      <w:rPr>
                        <w:rFonts w:ascii="Asana Math" w:hAnsi="Asana Math"/>
                        <w:i/>
                      </w:rPr>
                    </m:ctrlPr>
                  </m:sSupPr>
                  <m:e>
                    <m:r>
                      <w:rPr>
                        <w:rFonts w:ascii="Asana Math" w:hAnsi="Asana Math"/>
                      </w:rPr>
                      <m:t>10</m:t>
                    </m:r>
                  </m:e>
                  <m:sup>
                    <m:r>
                      <w:rPr>
                        <w:rFonts w:ascii="Asana Math" w:hAnsi="Asana Math"/>
                      </w:rPr>
                      <m:t>-4</m:t>
                    </m:r>
                  </m:sup>
                </m:sSup>
                <m:r>
                  <w:rPr>
                    <w:rFonts w:ascii="Asana Math" w:hAnsi="Asana Math"/>
                  </w:rPr>
                  <m:t xml:space="preserve"> </m:t>
                </m:r>
                <m:r>
                  <m:rPr>
                    <m:sty m:val="p"/>
                  </m:rPr>
                  <w:rPr>
                    <w:rFonts w:ascii="Asana Math" w:hAnsi="Asana Math"/>
                  </w:rPr>
                  <m:t>mol</m:t>
                </m:r>
              </m:e>
              <m:e>
                <m:r>
                  <w:rPr>
                    <w:rFonts w:ascii="Asana Math" w:hAnsi="Asana Math"/>
                  </w:rPr>
                  <m:t>;</m:t>
                </m:r>
              </m:e>
              <m:e>
                <m:sSub>
                  <m:sSubPr>
                    <m:ctrlPr>
                      <w:rPr>
                        <w:rFonts w:ascii="Asana Math" w:hAnsi="Asana Math"/>
                        <w:i/>
                      </w:rPr>
                    </m:ctrlPr>
                  </m:sSubPr>
                  <m:e>
                    <m:r>
                      <w:rPr>
                        <w:rFonts w:ascii="Asana Math" w:hAnsi="Asana Math"/>
                      </w:rPr>
                      <m:t>n</m:t>
                    </m:r>
                  </m:e>
                  <m:sub>
                    <m:sSub>
                      <m:sSubPr>
                        <m:ctrlPr>
                          <w:rPr>
                            <w:rFonts w:ascii="Asana Math" w:hAnsi="Asana Math"/>
                          </w:rPr>
                        </m:ctrlPr>
                      </m:sSubPr>
                      <m:e>
                        <m:r>
                          <m:rPr>
                            <m:sty m:val="p"/>
                          </m:rPr>
                          <w:rPr>
                            <w:rFonts w:ascii="Asana Math" w:hAnsi="Asana Math"/>
                          </w:rPr>
                          <m:t>SO</m:t>
                        </m:r>
                      </m:e>
                      <m:sub>
                        <m:r>
                          <m:rPr>
                            <m:sty m:val="p"/>
                          </m:rPr>
                          <w:rPr>
                            <w:rFonts w:ascii="Asana Math" w:hAnsi="Asana Math"/>
                          </w:rPr>
                          <m:t>2</m:t>
                        </m:r>
                      </m:sub>
                    </m:sSub>
                  </m:sub>
                </m:sSub>
                <m:r>
                  <w:rPr>
                    <w:rFonts w:ascii="Asana Math" w:hAnsi="Asana Math"/>
                  </w:rPr>
                  <m:t>=</m:t>
                </m:r>
                <m:f>
                  <m:fPr>
                    <m:ctrlPr>
                      <w:rPr>
                        <w:rFonts w:ascii="Asana Math" w:hAnsi="Asana Math"/>
                        <w:i/>
                      </w:rPr>
                    </m:ctrlPr>
                  </m:fPr>
                  <m:num>
                    <m:sSub>
                      <m:sSubPr>
                        <m:ctrlPr>
                          <w:rPr>
                            <w:rFonts w:ascii="Asana Math" w:hAnsi="Asana Math"/>
                            <w:i/>
                          </w:rPr>
                        </m:ctrlPr>
                      </m:sSubPr>
                      <m:e>
                        <m:r>
                          <w:rPr>
                            <w:rFonts w:ascii="Asana Math" w:hAnsi="Asana Math"/>
                          </w:rPr>
                          <m:t>ρ</m:t>
                        </m:r>
                      </m:e>
                      <m:sub>
                        <m:sSub>
                          <m:sSubPr>
                            <m:ctrlPr>
                              <w:rPr>
                                <w:rFonts w:ascii="Asana Math" w:hAnsi="Asana Math"/>
                              </w:rPr>
                            </m:ctrlPr>
                          </m:sSubPr>
                          <m:e>
                            <m:r>
                              <m:rPr>
                                <m:sty m:val="p"/>
                              </m:rPr>
                              <w:rPr>
                                <w:rFonts w:ascii="Asana Math" w:hAnsi="Asana Math"/>
                              </w:rPr>
                              <m:t>SO</m:t>
                            </m:r>
                            <m:ctrlPr>
                              <w:rPr>
                                <w:rFonts w:ascii="Asana Math" w:hAnsi="Asana Math"/>
                                <w:i/>
                              </w:rPr>
                            </m:ctrlPr>
                          </m:e>
                          <m:sub>
                            <m:r>
                              <m:rPr>
                                <m:sty m:val="p"/>
                              </m:rPr>
                              <w:rPr>
                                <w:rFonts w:ascii="Asana Math" w:hAnsi="Asana Math"/>
                              </w:rPr>
                              <m:t>2</m:t>
                            </m:r>
                          </m:sub>
                        </m:sSub>
                      </m:sub>
                    </m:sSub>
                    <m:sSub>
                      <m:sSubPr>
                        <m:ctrlPr>
                          <w:rPr>
                            <w:rFonts w:ascii="Asana Math" w:hAnsi="Asana Math"/>
                            <w:i/>
                          </w:rPr>
                        </m:ctrlPr>
                      </m:sSubPr>
                      <m:e>
                        <m:r>
                          <w:rPr>
                            <w:rFonts w:ascii="Asana Math" w:hAnsi="Asana Math"/>
                          </w:rPr>
                          <m:t>V</m:t>
                        </m:r>
                      </m:e>
                      <m:sub>
                        <m:sSub>
                          <m:sSubPr>
                            <m:ctrlPr>
                              <w:rPr>
                                <w:rFonts w:ascii="Asana Math" w:hAnsi="Asana Math"/>
                              </w:rPr>
                            </m:ctrlPr>
                          </m:sSubPr>
                          <m:e>
                            <m:r>
                              <m:rPr>
                                <m:sty m:val="p"/>
                              </m:rPr>
                              <w:rPr>
                                <w:rFonts w:ascii="Asana Math" w:hAnsi="Asana Math"/>
                              </w:rPr>
                              <m:t>SO</m:t>
                            </m:r>
                            <m:ctrlPr>
                              <w:rPr>
                                <w:rFonts w:ascii="Asana Math" w:hAnsi="Asana Math"/>
                                <w:i/>
                              </w:rPr>
                            </m:ctrlPr>
                          </m:e>
                          <m:sub>
                            <m:r>
                              <m:rPr>
                                <m:sty m:val="p"/>
                              </m:rPr>
                              <w:rPr>
                                <w:rFonts w:ascii="Asana Math" w:hAnsi="Asana Math"/>
                              </w:rPr>
                              <m:t>2</m:t>
                            </m:r>
                          </m:sub>
                        </m:sSub>
                      </m:sub>
                    </m:sSub>
                  </m:num>
                  <m:den>
                    <m:sSub>
                      <m:sSubPr>
                        <m:ctrlPr>
                          <w:rPr>
                            <w:rFonts w:ascii="Asana Math" w:hAnsi="Asana Math"/>
                            <w:i/>
                          </w:rPr>
                        </m:ctrlPr>
                      </m:sSubPr>
                      <m:e>
                        <m:r>
                          <w:rPr>
                            <w:rFonts w:ascii="Asana Math" w:hAnsi="Asana Math"/>
                          </w:rPr>
                          <m:t>M</m:t>
                        </m:r>
                      </m:e>
                      <m:sub>
                        <m:sSub>
                          <m:sSubPr>
                            <m:ctrlPr>
                              <w:rPr>
                                <w:rFonts w:ascii="Asana Math" w:hAnsi="Asana Math"/>
                              </w:rPr>
                            </m:ctrlPr>
                          </m:sSubPr>
                          <m:e>
                            <m:r>
                              <m:rPr>
                                <m:sty m:val="p"/>
                              </m:rPr>
                              <w:rPr>
                                <w:rFonts w:ascii="Asana Math" w:hAnsi="Asana Math"/>
                              </w:rPr>
                              <m:t>SO</m:t>
                            </m:r>
                            <m:ctrlPr>
                              <w:rPr>
                                <w:rFonts w:ascii="Asana Math" w:hAnsi="Asana Math"/>
                                <w:i/>
                              </w:rPr>
                            </m:ctrlPr>
                          </m:e>
                          <m:sub>
                            <m:r>
                              <m:rPr>
                                <m:sty m:val="p"/>
                              </m:rPr>
                              <w:rPr>
                                <w:rFonts w:ascii="Asana Math" w:hAnsi="Asana Math"/>
                              </w:rPr>
                              <m:t>2</m:t>
                            </m:r>
                          </m:sub>
                        </m:sSub>
                      </m:sub>
                    </m:sSub>
                  </m:den>
                </m:f>
                <m:r>
                  <w:rPr>
                    <w:rFonts w:ascii="Asana Math" w:hAnsi="Asana Math"/>
                  </w:rPr>
                  <m:t>=1,94×</m:t>
                </m:r>
                <m:sSup>
                  <m:sSupPr>
                    <m:ctrlPr>
                      <w:rPr>
                        <w:rFonts w:ascii="Asana Math" w:hAnsi="Asana Math"/>
                        <w:i/>
                      </w:rPr>
                    </m:ctrlPr>
                  </m:sSupPr>
                  <m:e>
                    <m:r>
                      <w:rPr>
                        <w:rFonts w:ascii="Asana Math" w:hAnsi="Asana Math"/>
                      </w:rPr>
                      <m:t>10</m:t>
                    </m:r>
                  </m:e>
                  <m:sup>
                    <m:r>
                      <w:rPr>
                        <w:rFonts w:ascii="Asana Math" w:hAnsi="Asana Math"/>
                      </w:rPr>
                      <m:t>-3</m:t>
                    </m:r>
                  </m:sup>
                </m:sSup>
                <m:r>
                  <w:rPr>
                    <w:rFonts w:ascii="Asana Math" w:hAnsi="Asana Math"/>
                  </w:rPr>
                  <m:t xml:space="preserve"> </m:t>
                </m:r>
                <m:r>
                  <m:rPr>
                    <m:sty m:val="p"/>
                  </m:rPr>
                  <w:rPr>
                    <w:rFonts w:ascii="Asana Math" w:hAnsi="Asana Math"/>
                  </w:rPr>
                  <m:t>mol</m:t>
                </m:r>
              </m:e>
            </m:mr>
          </m:m>
          <m:r>
            <m:rPr>
              <m:sty m:val="p"/>
            </m:rPr>
            <w:br/>
          </m:r>
        </m:oMath>
      </m:oMathPara>
      <w:r>
        <w:t>La première goutte de réactif titrant en excès suffit donc à colorer fortement le milieu réactionnel. L’ajout d’empois d’amidon permettrait de renforcer la visibilité du virage dans le cas d’un milieu très dilué</w:t>
      </w:r>
      <w:r>
        <w:rPr>
          <w:rStyle w:val="Appelnotedebasdep"/>
        </w:rPr>
        <w:footnoteReference w:id="8"/>
      </w:r>
      <w:r>
        <w:t>.</w:t>
      </w:r>
    </w:p>
    <w:p w14:paraId="73AE0C0E" w14:textId="77777777" w:rsidR="000712B4" w:rsidRPr="00676DC6" w:rsidRDefault="000712B4" w:rsidP="000712B4">
      <w:pPr>
        <w:pStyle w:val="Corpsdetexte"/>
        <w:numPr>
          <w:ilvl w:val="2"/>
          <w:numId w:val="2"/>
        </w:numPr>
      </w:pPr>
      <w:r>
        <w:t xml:space="preserve">En supposant que le diiode est en défaut dans le réactif titrant, la stœchiométrie 1:1 impose la relation à l’équivalence </w:t>
      </w:r>
      <w:r>
        <w:br/>
      </w:r>
      <m:oMathPara>
        <m:oMath>
          <m:sSub>
            <m:sSubPr>
              <m:ctrlPr>
                <w:rPr>
                  <w:rFonts w:ascii="Asana Math" w:hAnsi="Asana Math"/>
                  <w:i/>
                </w:rPr>
              </m:ctrlPr>
            </m:sSubPr>
            <m:e>
              <m:r>
                <w:rPr>
                  <w:rFonts w:ascii="Asana Math" w:hAnsi="Asana Math"/>
                </w:rPr>
                <m:t>C</m:t>
              </m:r>
            </m:e>
            <m:sub>
              <m:r>
                <m:rPr>
                  <m:sty m:val="p"/>
                </m:rPr>
                <w:rPr>
                  <w:rFonts w:ascii="Asana Math" w:hAnsi="Asana Math"/>
                </w:rPr>
                <m:t>eau</m:t>
              </m:r>
            </m:sub>
          </m:sSub>
          <m:sSub>
            <m:sSubPr>
              <m:ctrlPr>
                <w:rPr>
                  <w:rFonts w:ascii="Asana Math" w:hAnsi="Asana Math"/>
                  <w:i/>
                </w:rPr>
              </m:ctrlPr>
            </m:sSubPr>
            <m:e>
              <m:r>
                <w:rPr>
                  <w:rFonts w:ascii="Asana Math" w:hAnsi="Asana Math"/>
                </w:rPr>
                <m:t>V</m:t>
              </m:r>
            </m:e>
            <m:sub>
              <m:r>
                <m:rPr>
                  <m:sty m:val="p"/>
                </m:rPr>
                <w:rPr>
                  <w:rFonts w:ascii="Asana Math" w:hAnsi="Asana Math"/>
                </w:rPr>
                <m:t>essai</m:t>
              </m:r>
            </m:sub>
          </m:sSub>
          <m:r>
            <w:rPr>
              <w:rFonts w:ascii="Asana Math" w:hAnsi="Asana Math"/>
            </w:rPr>
            <m:t>=</m:t>
          </m:r>
          <m:sSub>
            <m:sSubPr>
              <m:ctrlPr>
                <w:rPr>
                  <w:rFonts w:ascii="Asana Math" w:hAnsi="Asana Math"/>
                  <w:i/>
                </w:rPr>
              </m:ctrlPr>
            </m:sSubPr>
            <m:e>
              <m:r>
                <w:rPr>
                  <w:rFonts w:ascii="Asana Math" w:hAnsi="Asana Math"/>
                </w:rPr>
                <m:t>C</m:t>
              </m:r>
            </m:e>
            <m:sub>
              <m:sSub>
                <m:sSubPr>
                  <m:ctrlPr>
                    <w:rPr>
                      <w:rFonts w:ascii="Asana Math" w:hAnsi="Asana Math"/>
                    </w:rPr>
                  </m:ctrlPr>
                </m:sSubPr>
                <m:e>
                  <m:r>
                    <m:rPr>
                      <m:sty m:val="p"/>
                    </m:rPr>
                    <w:rPr>
                      <w:rFonts w:ascii="Asana Math" w:hAnsi="Asana Math"/>
                    </w:rPr>
                    <m:t>I</m:t>
                  </m:r>
                  <m:ctrlPr>
                    <w:rPr>
                      <w:rFonts w:ascii="Asana Math" w:hAnsi="Asana Math"/>
                      <w:i/>
                    </w:rPr>
                  </m:ctrlPr>
                </m:e>
                <m:sub>
                  <m:r>
                    <m:rPr>
                      <m:sty m:val="p"/>
                    </m:rPr>
                    <w:rPr>
                      <w:rFonts w:ascii="Asana Math" w:hAnsi="Asana Math"/>
                    </w:rPr>
                    <m:t>2</m:t>
                  </m:r>
                </m:sub>
              </m:sSub>
            </m:sub>
          </m:sSub>
          <m:sSub>
            <m:sSubPr>
              <m:ctrlPr>
                <w:rPr>
                  <w:rFonts w:ascii="Asana Math" w:hAnsi="Asana Math"/>
                  <w:i/>
                </w:rPr>
              </m:ctrlPr>
            </m:sSubPr>
            <m:e>
              <m:r>
                <w:rPr>
                  <w:rFonts w:ascii="Asana Math" w:hAnsi="Asana Math"/>
                </w:rPr>
                <m:t>V</m:t>
              </m:r>
            </m:e>
            <m:sub>
              <m:r>
                <m:rPr>
                  <m:sty m:val="p"/>
                </m:rPr>
                <w:rPr>
                  <w:rFonts w:ascii="Asana Math" w:hAnsi="Asana Math"/>
                </w:rPr>
                <m:t>éq</m:t>
              </m:r>
            </m:sub>
          </m:sSub>
          <m:r>
            <m:rPr>
              <m:sty m:val="p"/>
            </m:rPr>
            <w:br/>
          </m:r>
        </m:oMath>
      </m:oMathPara>
      <w:r>
        <w:t>où la concentration du réactif titrant en diiode est obtenue à partir des données relatives à sa préparation :</w:t>
      </w:r>
      <w:r>
        <w:br/>
      </w:r>
      <m:oMathPara>
        <m:oMath>
          <m:sSub>
            <m:sSubPr>
              <m:ctrlPr>
                <w:rPr>
                  <w:rFonts w:ascii="Asana Math" w:hAnsi="Asana Math"/>
                  <w:i/>
                </w:rPr>
              </m:ctrlPr>
            </m:sSubPr>
            <m:e>
              <m:r>
                <w:rPr>
                  <w:rFonts w:ascii="Asana Math" w:hAnsi="Asana Math"/>
                </w:rPr>
                <m:t>C</m:t>
              </m:r>
            </m:e>
            <m:sub>
              <m:sSub>
                <m:sSubPr>
                  <m:ctrlPr>
                    <w:rPr>
                      <w:rFonts w:ascii="Asana Math" w:hAnsi="Asana Math"/>
                    </w:rPr>
                  </m:ctrlPr>
                </m:sSubPr>
                <m:e>
                  <m:r>
                    <m:rPr>
                      <m:sty m:val="p"/>
                    </m:rPr>
                    <w:rPr>
                      <w:rFonts w:ascii="Asana Math" w:hAnsi="Asana Math"/>
                    </w:rPr>
                    <m:t>I</m:t>
                  </m:r>
                  <m:ctrlPr>
                    <w:rPr>
                      <w:rFonts w:ascii="Asana Math" w:hAnsi="Asana Math"/>
                      <w:i/>
                    </w:rPr>
                  </m:ctrlPr>
                </m:e>
                <m:sub>
                  <m:r>
                    <m:rPr>
                      <m:sty m:val="p"/>
                    </m:rPr>
                    <w:rPr>
                      <w:rFonts w:ascii="Asana Math" w:hAnsi="Asana Math"/>
                    </w:rPr>
                    <m:t>2</m:t>
                  </m:r>
                </m:sub>
              </m:sSub>
            </m:sub>
          </m:sSub>
          <m:r>
            <w:rPr>
              <w:rFonts w:ascii="Asana Math" w:hAnsi="Asana Math"/>
            </w:rPr>
            <m:t>=</m:t>
          </m:r>
          <m:f>
            <m:fPr>
              <m:ctrlPr>
                <w:rPr>
                  <w:rFonts w:ascii="Asana Math" w:hAnsi="Asana Math"/>
                  <w:i/>
                </w:rPr>
              </m:ctrlPr>
            </m:fPr>
            <m:num>
              <m:sSub>
                <m:sSubPr>
                  <m:ctrlPr>
                    <w:rPr>
                      <w:rFonts w:ascii="Asana Math" w:hAnsi="Asana Math"/>
                      <w:i/>
                    </w:rPr>
                  </m:ctrlPr>
                </m:sSubPr>
                <m:e>
                  <m:r>
                    <w:rPr>
                      <w:rFonts w:ascii="Asana Math" w:hAnsi="Asana Math"/>
                    </w:rPr>
                    <m:t>m</m:t>
                  </m:r>
                </m:e>
                <m:sub>
                  <m:sSub>
                    <m:sSubPr>
                      <m:ctrlPr>
                        <w:rPr>
                          <w:rFonts w:ascii="Asana Math" w:hAnsi="Asana Math"/>
                        </w:rPr>
                      </m:ctrlPr>
                    </m:sSubPr>
                    <m:e>
                      <m:r>
                        <m:rPr>
                          <m:sty m:val="p"/>
                        </m:rPr>
                        <w:rPr>
                          <w:rFonts w:ascii="Asana Math" w:hAnsi="Asana Math"/>
                        </w:rPr>
                        <m:t>I</m:t>
                      </m:r>
                      <m:ctrlPr>
                        <w:rPr>
                          <w:rFonts w:ascii="Asana Math" w:hAnsi="Asana Math"/>
                          <w:i/>
                        </w:rPr>
                      </m:ctrlPr>
                    </m:e>
                    <m:sub>
                      <m:r>
                        <m:rPr>
                          <m:sty m:val="p"/>
                        </m:rPr>
                        <w:rPr>
                          <w:rFonts w:ascii="Asana Math" w:hAnsi="Asana Math"/>
                        </w:rPr>
                        <m:t>2</m:t>
                      </m:r>
                    </m:sub>
                  </m:sSub>
                </m:sub>
              </m:sSub>
            </m:num>
            <m:den>
              <m:sSub>
                <m:sSubPr>
                  <m:ctrlPr>
                    <w:rPr>
                      <w:rFonts w:ascii="Asana Math" w:hAnsi="Asana Math"/>
                      <w:i/>
                    </w:rPr>
                  </m:ctrlPr>
                </m:sSubPr>
                <m:e>
                  <m:r>
                    <w:rPr>
                      <w:rFonts w:ascii="Asana Math" w:hAnsi="Asana Math"/>
                    </w:rPr>
                    <m:t>M</m:t>
                  </m:r>
                </m:e>
                <m:sub>
                  <m:sSub>
                    <m:sSubPr>
                      <m:ctrlPr>
                        <w:rPr>
                          <w:rFonts w:ascii="Asana Math" w:hAnsi="Asana Math"/>
                        </w:rPr>
                      </m:ctrlPr>
                    </m:sSubPr>
                    <m:e>
                      <m:r>
                        <m:rPr>
                          <m:sty m:val="p"/>
                        </m:rPr>
                        <w:rPr>
                          <w:rFonts w:ascii="Asana Math" w:hAnsi="Asana Math"/>
                        </w:rPr>
                        <m:t>I</m:t>
                      </m:r>
                    </m:e>
                    <m:sub>
                      <m:r>
                        <m:rPr>
                          <m:sty m:val="p"/>
                        </m:rPr>
                        <w:rPr>
                          <w:rFonts w:ascii="Asana Math" w:hAnsi="Asana Math"/>
                        </w:rPr>
                        <m:t>2</m:t>
                      </m:r>
                    </m:sub>
                  </m:sSub>
                </m:sub>
              </m:sSub>
              <m:sSub>
                <m:sSubPr>
                  <m:ctrlPr>
                    <w:rPr>
                      <w:rFonts w:ascii="Asana Math" w:hAnsi="Asana Math"/>
                      <w:i/>
                    </w:rPr>
                  </m:ctrlPr>
                </m:sSubPr>
                <m:e>
                  <m:r>
                    <w:rPr>
                      <w:rFonts w:ascii="Asana Math" w:hAnsi="Asana Math"/>
                    </w:rPr>
                    <m:t>V</m:t>
                  </m:r>
                </m:e>
                <m:sub>
                  <m:r>
                    <m:rPr>
                      <m:sty m:val="p"/>
                    </m:rPr>
                    <w:rPr>
                      <w:rFonts w:ascii="Asana Math" w:hAnsi="Asana Math"/>
                    </w:rPr>
                    <m:t>titrant</m:t>
                  </m:r>
                </m:sub>
              </m:sSub>
            </m:den>
          </m:f>
          <m:r>
            <m:rPr>
              <m:sty m:val="p"/>
            </m:rPr>
            <w:br/>
          </m:r>
        </m:oMath>
      </m:oMathPara>
      <w:r>
        <w:t>soit une concentration en eau égale à</w:t>
      </w:r>
      <w:r>
        <w:br/>
      </w:r>
      <m:oMathPara>
        <m:oMath>
          <m:sSub>
            <m:sSubPr>
              <m:ctrlPr>
                <w:rPr>
                  <w:rFonts w:ascii="Asana Math" w:hAnsi="Asana Math"/>
                  <w:i/>
                </w:rPr>
              </m:ctrlPr>
            </m:sSubPr>
            <m:e>
              <m:r>
                <w:rPr>
                  <w:rFonts w:ascii="Asana Math" w:hAnsi="Asana Math"/>
                </w:rPr>
                <m:t>C</m:t>
              </m:r>
            </m:e>
            <m:sub>
              <m:r>
                <m:rPr>
                  <m:sty m:val="p"/>
                </m:rPr>
                <w:rPr>
                  <w:rFonts w:ascii="Asana Math" w:hAnsi="Asana Math"/>
                </w:rPr>
                <m:t>eau</m:t>
              </m:r>
            </m:sub>
          </m:sSub>
          <m:r>
            <w:rPr>
              <w:rFonts w:ascii="Asana Math" w:hAnsi="Asana Math"/>
            </w:rPr>
            <m:t>=</m:t>
          </m:r>
          <m:f>
            <m:fPr>
              <m:ctrlPr>
                <w:rPr>
                  <w:rFonts w:ascii="Asana Math" w:hAnsi="Asana Math"/>
                  <w:i/>
                </w:rPr>
              </m:ctrlPr>
            </m:fPr>
            <m:num>
              <m:sSub>
                <m:sSubPr>
                  <m:ctrlPr>
                    <w:rPr>
                      <w:rFonts w:ascii="Asana Math" w:hAnsi="Asana Math"/>
                      <w:i/>
                    </w:rPr>
                  </m:ctrlPr>
                </m:sSubPr>
                <m:e>
                  <m:r>
                    <w:rPr>
                      <w:rFonts w:ascii="Asana Math" w:hAnsi="Asana Math"/>
                    </w:rPr>
                    <m:t>m</m:t>
                  </m:r>
                </m:e>
                <m:sub>
                  <m:sSub>
                    <m:sSubPr>
                      <m:ctrlPr>
                        <w:rPr>
                          <w:rFonts w:ascii="Asana Math" w:hAnsi="Asana Math"/>
                        </w:rPr>
                      </m:ctrlPr>
                    </m:sSubPr>
                    <m:e>
                      <m:r>
                        <m:rPr>
                          <m:sty m:val="p"/>
                        </m:rPr>
                        <w:rPr>
                          <w:rFonts w:ascii="Asana Math" w:hAnsi="Asana Math"/>
                        </w:rPr>
                        <m:t>I</m:t>
                      </m:r>
                      <m:ctrlPr>
                        <w:rPr>
                          <w:rFonts w:ascii="Asana Math" w:hAnsi="Asana Math"/>
                          <w:i/>
                        </w:rPr>
                      </m:ctrlPr>
                    </m:e>
                    <m:sub>
                      <m:r>
                        <m:rPr>
                          <m:sty m:val="p"/>
                        </m:rPr>
                        <w:rPr>
                          <w:rFonts w:ascii="Asana Math" w:hAnsi="Asana Math"/>
                        </w:rPr>
                        <m:t>2</m:t>
                      </m:r>
                    </m:sub>
                  </m:sSub>
                </m:sub>
              </m:sSub>
            </m:num>
            <m:den>
              <m:sSub>
                <m:sSubPr>
                  <m:ctrlPr>
                    <w:rPr>
                      <w:rFonts w:ascii="Asana Math" w:hAnsi="Asana Math"/>
                      <w:i/>
                    </w:rPr>
                  </m:ctrlPr>
                </m:sSubPr>
                <m:e>
                  <m:r>
                    <w:rPr>
                      <w:rFonts w:ascii="Asana Math" w:hAnsi="Asana Math"/>
                    </w:rPr>
                    <m:t>M</m:t>
                  </m:r>
                </m:e>
                <m:sub>
                  <m:sSub>
                    <m:sSubPr>
                      <m:ctrlPr>
                        <w:rPr>
                          <w:rFonts w:ascii="Asana Math" w:hAnsi="Asana Math"/>
                        </w:rPr>
                      </m:ctrlPr>
                    </m:sSubPr>
                    <m:e>
                      <m:r>
                        <m:rPr>
                          <m:sty m:val="p"/>
                        </m:rPr>
                        <w:rPr>
                          <w:rFonts w:ascii="Asana Math" w:hAnsi="Asana Math"/>
                        </w:rPr>
                        <m:t>I</m:t>
                      </m:r>
                    </m:e>
                    <m:sub>
                      <m:r>
                        <m:rPr>
                          <m:sty m:val="p"/>
                        </m:rPr>
                        <w:rPr>
                          <w:rFonts w:ascii="Asana Math" w:hAnsi="Asana Math"/>
                        </w:rPr>
                        <m:t>2</m:t>
                      </m:r>
                    </m:sub>
                  </m:sSub>
                </m:sub>
              </m:sSub>
              <m:sSub>
                <m:sSubPr>
                  <m:ctrlPr>
                    <w:rPr>
                      <w:rFonts w:ascii="Asana Math" w:hAnsi="Asana Math"/>
                      <w:i/>
                    </w:rPr>
                  </m:ctrlPr>
                </m:sSubPr>
                <m:e>
                  <m:r>
                    <w:rPr>
                      <w:rFonts w:ascii="Asana Math" w:hAnsi="Asana Math"/>
                    </w:rPr>
                    <m:t>V</m:t>
                  </m:r>
                </m:e>
                <m:sub>
                  <m:r>
                    <m:rPr>
                      <m:sty m:val="p"/>
                    </m:rPr>
                    <w:rPr>
                      <w:rFonts w:ascii="Asana Math" w:hAnsi="Asana Math"/>
                    </w:rPr>
                    <m:t>titrant</m:t>
                  </m:r>
                </m:sub>
              </m:sSub>
            </m:den>
          </m:f>
          <m:r>
            <w:rPr>
              <w:rFonts w:ascii="Asana Math" w:hAnsi="Asana Math"/>
            </w:rPr>
            <m:t>⋅</m:t>
          </m:r>
          <m:f>
            <m:fPr>
              <m:ctrlPr>
                <w:rPr>
                  <w:rFonts w:ascii="Asana Math" w:hAnsi="Asana Math"/>
                  <w:i/>
                </w:rPr>
              </m:ctrlPr>
            </m:fPr>
            <m:num>
              <m:sSub>
                <m:sSubPr>
                  <m:ctrlPr>
                    <w:rPr>
                      <w:rFonts w:ascii="Asana Math" w:hAnsi="Asana Math"/>
                      <w:i/>
                    </w:rPr>
                  </m:ctrlPr>
                </m:sSubPr>
                <m:e>
                  <m:r>
                    <w:rPr>
                      <w:rFonts w:ascii="Asana Math" w:hAnsi="Asana Math"/>
                    </w:rPr>
                    <m:t>V</m:t>
                  </m:r>
                </m:e>
                <m:sub>
                  <m:r>
                    <m:rPr>
                      <m:sty m:val="p"/>
                    </m:rPr>
                    <w:rPr>
                      <w:rFonts w:ascii="Asana Math" w:hAnsi="Asana Math"/>
                    </w:rPr>
                    <m:t>éq</m:t>
                  </m:r>
                </m:sub>
              </m:sSub>
            </m:num>
            <m:den>
              <m:sSub>
                <m:sSubPr>
                  <m:ctrlPr>
                    <w:rPr>
                      <w:rFonts w:ascii="Asana Math" w:hAnsi="Asana Math"/>
                      <w:i/>
                    </w:rPr>
                  </m:ctrlPr>
                </m:sSubPr>
                <m:e>
                  <m:r>
                    <w:rPr>
                      <w:rFonts w:ascii="Asana Math" w:hAnsi="Asana Math"/>
                    </w:rPr>
                    <m:t>V</m:t>
                  </m:r>
                </m:e>
                <m:sub>
                  <m:r>
                    <m:rPr>
                      <m:sty m:val="p"/>
                    </m:rPr>
                    <w:rPr>
                      <w:rFonts w:ascii="Asana Math" w:hAnsi="Asana Math"/>
                    </w:rPr>
                    <m:t>essai</m:t>
                  </m:r>
                </m:sub>
              </m:sSub>
            </m:den>
          </m:f>
          <m:r>
            <w:rPr>
              <w:rFonts w:ascii="Asana Math" w:hAnsi="Asana Math"/>
            </w:rPr>
            <m:t>=5,3×</m:t>
          </m:r>
          <m:sSup>
            <m:sSupPr>
              <m:ctrlPr>
                <w:rPr>
                  <w:rFonts w:ascii="Asana Math" w:hAnsi="Asana Math"/>
                  <w:i/>
                </w:rPr>
              </m:ctrlPr>
            </m:sSupPr>
            <m:e>
              <m:r>
                <w:rPr>
                  <w:rFonts w:ascii="Asana Math" w:hAnsi="Asana Math"/>
                </w:rPr>
                <m:t>10</m:t>
              </m:r>
            </m:e>
            <m:sup>
              <m:r>
                <w:rPr>
                  <w:rFonts w:ascii="Asana Math" w:hAnsi="Asana Math"/>
                </w:rPr>
                <m:t>-4</m:t>
              </m:r>
            </m:sup>
          </m:sSup>
          <m:r>
            <w:rPr>
              <w:rFonts w:ascii="Asana Math" w:hAnsi="Asana Math"/>
            </w:rPr>
            <m:t xml:space="preserve"> </m:t>
          </m:r>
          <m:r>
            <m:rPr>
              <m:sty m:val="p"/>
            </m:rPr>
            <w:rPr>
              <w:rFonts w:ascii="Asana Math" w:hAnsi="Asana Math"/>
            </w:rPr>
            <m:t>mol</m:t>
          </m:r>
          <m:r>
            <m:rPr>
              <m:nor/>
            </m:rPr>
            <w:rPr>
              <w:rFonts w:ascii="Asana Math" w:hAnsi="Asana Math"/>
            </w:rPr>
            <m:t>⋅</m:t>
          </m:r>
          <m:sSup>
            <m:sSupPr>
              <m:ctrlPr>
                <w:rPr>
                  <w:rFonts w:ascii="Asana Math" w:hAnsi="Asana Math"/>
                </w:rPr>
              </m:ctrlPr>
            </m:sSupPr>
            <m:e>
              <m:r>
                <m:rPr>
                  <m:sty m:val="p"/>
                </m:rPr>
                <w:rPr>
                  <w:rFonts w:ascii="Asana Math" w:hAnsi="Asana Math"/>
                </w:rPr>
                <m:t>L</m:t>
              </m:r>
            </m:e>
            <m:sup>
              <m:r>
                <m:rPr>
                  <m:sty m:val="p"/>
                </m:rPr>
                <w:rPr>
                  <w:rFonts w:ascii="Asana Math" w:hAnsi="Asana Math"/>
                </w:rPr>
                <m:t>-1</m:t>
              </m:r>
            </m:sup>
          </m:sSup>
        </m:oMath>
      </m:oMathPara>
    </w:p>
    <w:p w14:paraId="771160C1" w14:textId="77777777" w:rsidR="000712B4" w:rsidRDefault="000712B4" w:rsidP="000712B4">
      <w:pPr>
        <w:pStyle w:val="Corpsdetexte"/>
        <w:numPr>
          <w:ilvl w:val="2"/>
          <w:numId w:val="2"/>
        </w:numPr>
      </w:pPr>
      <w:r>
        <w:t xml:space="preserve">La perte en titre de diiode du réactif de </w:t>
      </w:r>
      <w:r w:rsidRPr="00C35559">
        <w:rPr>
          <w:rStyle w:val="Rfrencelgre"/>
        </w:rPr>
        <w:t>Karl-Fischer</w:t>
      </w:r>
      <w:r>
        <w:t xml:space="preserve"> peut être attribuée à sa réduction par le dioxyde de soufre en milieu méthanolique, selon la réaction d’équation-bilan</w:t>
      </w:r>
      <w:r>
        <w:br/>
      </w:r>
      <m:oMathPara>
        <m:oMath>
          <m:sSub>
            <m:sSubPr>
              <m:ctrlPr>
                <w:rPr>
                  <w:rFonts w:ascii="Asana Math" w:hAnsi="Asana Math"/>
                </w:rPr>
              </m:ctrlPr>
            </m:sSubPr>
            <m:e>
              <m:r>
                <m:rPr>
                  <m:sty m:val="p"/>
                </m:rPr>
                <w:rPr>
                  <w:rFonts w:ascii="Asana Math" w:hAnsi="Asana Math"/>
                </w:rPr>
                <m:t>I</m:t>
              </m:r>
            </m:e>
            <m:sub>
              <m:r>
                <m:rPr>
                  <m:sty m:val="p"/>
                </m:rPr>
                <w:rPr>
                  <w:rFonts w:ascii="Asana Math" w:hAnsi="Asana Math"/>
                </w:rPr>
                <m:t>2</m:t>
              </m:r>
            </m:sub>
          </m:sSub>
          <m:r>
            <w:rPr>
              <w:rFonts w:ascii="Asana Math" w:hAnsi="Asana Math"/>
            </w:rPr>
            <m:t>+</m:t>
          </m:r>
          <m:sSub>
            <m:sSubPr>
              <m:ctrlPr>
                <w:rPr>
                  <w:rFonts w:ascii="Asana Math" w:hAnsi="Asana Math"/>
                </w:rPr>
              </m:ctrlPr>
            </m:sSubPr>
            <m:e>
              <m:r>
                <m:rPr>
                  <m:sty m:val="p"/>
                </m:rPr>
                <w:rPr>
                  <w:rFonts w:ascii="Asana Math" w:hAnsi="Asana Math"/>
                </w:rPr>
                <m:t>SO</m:t>
              </m:r>
            </m:e>
            <m:sub>
              <m:r>
                <m:rPr>
                  <m:sty m:val="p"/>
                </m:rPr>
                <w:rPr>
                  <w:rFonts w:ascii="Asana Math" w:hAnsi="Asana Math"/>
                </w:rPr>
                <m:t>2</m:t>
              </m:r>
            </m:sub>
          </m:sSub>
          <m:r>
            <w:rPr>
              <w:rFonts w:ascii="Asana Math" w:hAnsi="Asana Math"/>
            </w:rPr>
            <m:t xml:space="preserve">+2 </m:t>
          </m:r>
          <m:r>
            <m:rPr>
              <m:sty m:val="p"/>
            </m:rPr>
            <w:rPr>
              <w:rFonts w:ascii="Asana Math" w:hAnsi="Asana Math"/>
            </w:rPr>
            <m:t xml:space="preserve">MeOH=2 </m:t>
          </m:r>
          <m:sSup>
            <m:sSupPr>
              <m:ctrlPr>
                <w:rPr>
                  <w:rFonts w:ascii="Asana Math" w:hAnsi="Asana Math"/>
                </w:rPr>
              </m:ctrlPr>
            </m:sSupPr>
            <m:e>
              <m:r>
                <m:rPr>
                  <m:sty m:val="p"/>
                </m:rPr>
                <w:rPr>
                  <w:rFonts w:ascii="Asana Math" w:hAnsi="Asana Math"/>
                </w:rPr>
                <m:t>I</m:t>
              </m:r>
            </m:e>
            <m:sup>
              <m:r>
                <m:rPr>
                  <m:sty m:val="p"/>
                </m:rPr>
                <w:rPr>
                  <w:rFonts w:ascii="Asana Math" w:hAnsi="Asana Math"/>
                </w:rPr>
                <m:t>-</m:t>
              </m:r>
            </m:sup>
          </m:sSup>
          <m:r>
            <w:rPr>
              <w:rFonts w:ascii="Asana Math" w:hAnsi="Asana Math"/>
            </w:rPr>
            <m:t>+</m:t>
          </m:r>
          <m:sSub>
            <m:sSubPr>
              <m:ctrlPr>
                <w:rPr>
                  <w:rFonts w:ascii="Asana Math" w:hAnsi="Asana Math"/>
                </w:rPr>
              </m:ctrlPr>
            </m:sSubPr>
            <m:e>
              <m:r>
                <m:rPr>
                  <m:sty m:val="p"/>
                </m:rPr>
                <w:rPr>
                  <w:rFonts w:ascii="Asana Math" w:hAnsi="Asana Math"/>
                </w:rPr>
                <m:t>Me</m:t>
              </m:r>
            </m:e>
            <m:sub>
              <m:r>
                <m:rPr>
                  <m:sty m:val="p"/>
                </m:rPr>
                <w:rPr>
                  <w:rFonts w:ascii="Asana Math" w:hAnsi="Asana Math"/>
                </w:rPr>
                <m:t>2</m:t>
              </m:r>
            </m:sub>
          </m:sSub>
          <m:r>
            <m:rPr>
              <m:sty m:val="p"/>
            </m:rPr>
            <w:rPr>
              <w:rFonts w:ascii="Asana Math" w:hAnsi="Asana Math"/>
            </w:rPr>
            <m:t>S</m:t>
          </m:r>
          <m:sSub>
            <m:sSubPr>
              <m:ctrlPr>
                <w:rPr>
                  <w:rFonts w:ascii="Asana Math" w:hAnsi="Asana Math"/>
                </w:rPr>
              </m:ctrlPr>
            </m:sSubPr>
            <m:e>
              <m:r>
                <m:rPr>
                  <m:sty m:val="p"/>
                </m:rPr>
                <w:rPr>
                  <w:rFonts w:ascii="Asana Math" w:hAnsi="Asana Math"/>
                </w:rPr>
                <m:t>O</m:t>
              </m:r>
            </m:e>
            <m:sub>
              <m:r>
                <m:rPr>
                  <m:sty m:val="p"/>
                </m:rPr>
                <w:rPr>
                  <w:rFonts w:ascii="Asana Math" w:hAnsi="Asana Math"/>
                </w:rPr>
                <m:t>4</m:t>
              </m:r>
            </m:sub>
          </m:sSub>
          <m:r>
            <w:rPr>
              <w:rFonts w:ascii="Asana Math" w:hAnsi="Asana Math"/>
            </w:rPr>
            <m:t xml:space="preserve">+2 </m:t>
          </m:r>
          <m:sSup>
            <m:sSupPr>
              <m:ctrlPr>
                <w:rPr>
                  <w:rFonts w:ascii="Asana Math" w:hAnsi="Asana Math"/>
                </w:rPr>
              </m:ctrlPr>
            </m:sSupPr>
            <m:e>
              <m:r>
                <m:rPr>
                  <m:sty m:val="p"/>
                </m:rPr>
                <w:rPr>
                  <w:rFonts w:ascii="Asana Math" w:hAnsi="Asana Math"/>
                </w:rPr>
                <m:t>H</m:t>
              </m:r>
            </m:e>
            <m:sup>
              <m:r>
                <m:rPr>
                  <m:sty m:val="p"/>
                </m:rPr>
                <w:rPr>
                  <w:rFonts w:ascii="Asana Math" w:hAnsi="Asana Math"/>
                </w:rPr>
                <m:t>+</m:t>
              </m:r>
            </m:sup>
          </m:sSup>
          <m:r>
            <m:rPr>
              <m:sty m:val="p"/>
            </m:rPr>
            <w:br/>
          </m:r>
        </m:oMath>
      </m:oMathPara>
      <w:r>
        <w:t>où le produit d’oxydation du dioxyde de soufre est le sulfate de diméthyle :</w:t>
      </w:r>
    </w:p>
    <w:p w14:paraId="70B9CD10" w14:textId="77777777" w:rsidR="000712B4" w:rsidRDefault="000712B4" w:rsidP="000712B4">
      <w:pPr>
        <w:pStyle w:val="Figure"/>
      </w:pPr>
      <w:r>
        <w:object w:dxaOrig="1571" w:dyaOrig="1201" w14:anchorId="216747A1">
          <v:shape id="_x0000_i1036" type="#_x0000_t75" style="width:78.5pt;height:59.5pt" o:ole="">
            <v:imagedata r:id="rId35" o:title=""/>
          </v:shape>
          <o:OLEObject Type="Embed" ProgID="ChemDraw.Document.6.0" ShapeID="_x0000_i1036" DrawAspect="Content" ObjectID="_1728332669" r:id="rId36"/>
        </w:object>
      </w:r>
    </w:p>
    <w:p w14:paraId="18F3DC0A" w14:textId="77777777" w:rsidR="000712B4" w:rsidRDefault="000712B4" w:rsidP="000712B4">
      <w:pPr>
        <w:rPr>
          <w:b/>
          <w:bCs/>
        </w:rPr>
      </w:pPr>
    </w:p>
    <w:p w14:paraId="413EADAA" w14:textId="77777777" w:rsidR="000712B4" w:rsidRPr="00AA4C25" w:rsidRDefault="000712B4" w:rsidP="000712B4">
      <w:pPr>
        <w:rPr>
          <w:b/>
          <w:bCs/>
        </w:rPr>
      </w:pPr>
    </w:p>
    <w:sectPr w:rsidR="000712B4" w:rsidRPr="00AA4C25" w:rsidSect="000704FB">
      <w:pgSz w:w="11906" w:h="16838"/>
      <w:pgMar w:top="568" w:right="566" w:bottom="568"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1AE3D9" w14:textId="77777777" w:rsidR="00536FF2" w:rsidRDefault="00536FF2" w:rsidP="000712B4">
      <w:pPr>
        <w:spacing w:after="0" w:line="240" w:lineRule="auto"/>
      </w:pPr>
      <w:r>
        <w:separator/>
      </w:r>
    </w:p>
  </w:endnote>
  <w:endnote w:type="continuationSeparator" w:id="0">
    <w:p w14:paraId="694364EC" w14:textId="77777777" w:rsidR="00536FF2" w:rsidRDefault="00536FF2" w:rsidP="00071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sana Math">
    <w:altName w:val="Gadugi"/>
    <w:panose1 w:val="00000000000000000000"/>
    <w:charset w:val="00"/>
    <w:family w:val="modern"/>
    <w:notTrueType/>
    <w:pitch w:val="variable"/>
    <w:sig w:usb0="800000E7" w:usb1="0201E1FF" w:usb2="06001000" w:usb3="00000000" w:csb0="00000009"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B3D3E" w14:textId="77777777" w:rsidR="00536FF2" w:rsidRDefault="00536FF2" w:rsidP="000712B4">
      <w:pPr>
        <w:spacing w:after="0" w:line="240" w:lineRule="auto"/>
      </w:pPr>
      <w:r>
        <w:separator/>
      </w:r>
    </w:p>
  </w:footnote>
  <w:footnote w:type="continuationSeparator" w:id="0">
    <w:p w14:paraId="389A0540" w14:textId="77777777" w:rsidR="00536FF2" w:rsidRDefault="00536FF2" w:rsidP="000712B4">
      <w:pPr>
        <w:spacing w:after="0" w:line="240" w:lineRule="auto"/>
      </w:pPr>
      <w:r>
        <w:continuationSeparator/>
      </w:r>
    </w:p>
  </w:footnote>
  <w:footnote w:id="1">
    <w:p w14:paraId="042F8144" w14:textId="77777777" w:rsidR="000712B4" w:rsidRDefault="000712B4" w:rsidP="000712B4">
      <w:pPr>
        <w:pStyle w:val="Notedebasdepage"/>
      </w:pPr>
      <w:r>
        <w:rPr>
          <w:rStyle w:val="Appelnotedebasdep"/>
        </w:rPr>
        <w:footnoteRef/>
      </w:r>
      <w:r>
        <w:t xml:space="preserve"> La valeur indiquée par l’énoncé est celle de </w:t>
      </w:r>
      <m:oMath>
        <m:func>
          <m:funcPr>
            <m:ctrlPr>
              <w:rPr>
                <w:rFonts w:ascii="Asana Math" w:hAnsi="Asana Math" w:cs="Cambria Math"/>
              </w:rPr>
            </m:ctrlPr>
          </m:funcPr>
          <m:fName>
            <m:r>
              <m:rPr>
                <m:sty m:val="p"/>
              </m:rPr>
              <w:rPr>
                <w:rFonts w:ascii="Asana Math" w:hAnsi="Asana Math" w:cs="Cambria Math"/>
              </w:rPr>
              <m:t>log</m:t>
            </m:r>
          </m:fName>
          <m:e>
            <m:r>
              <w:rPr>
                <w:rFonts w:ascii="Asana Math" w:hAnsi="Asana Math" w:cs="Cambria Math"/>
              </w:rPr>
              <m:t>β</m:t>
            </m:r>
          </m:e>
        </m:func>
      </m:oMath>
      <w:r>
        <w:t xml:space="preserve"> et non de </w:t>
      </w:r>
      <m:oMath>
        <m:r>
          <w:rPr>
            <w:rFonts w:ascii="Asana Math" w:hAnsi="Asana Math"/>
          </w:rPr>
          <m:t>β</m:t>
        </m:r>
      </m:oMath>
      <w:r>
        <w:t>.</w:t>
      </w:r>
    </w:p>
  </w:footnote>
  <w:footnote w:id="2">
    <w:p w14:paraId="2D7EB63E" w14:textId="77777777" w:rsidR="000712B4" w:rsidRDefault="000712B4" w:rsidP="000712B4">
      <w:pPr>
        <w:pStyle w:val="Notedebasdepage"/>
      </w:pPr>
      <w:r>
        <w:rPr>
          <w:rStyle w:val="Appelnotedebasdep"/>
        </w:rPr>
        <w:footnoteRef/>
      </w:r>
      <w:r>
        <w:t xml:space="preserve"> Sauf en cas de blocage cinétique providentiel…</w:t>
      </w:r>
    </w:p>
  </w:footnote>
  <w:footnote w:id="3">
    <w:p w14:paraId="79635CB3" w14:textId="77777777" w:rsidR="000712B4" w:rsidRPr="009F4663" w:rsidRDefault="000712B4" w:rsidP="000712B4">
      <w:pPr>
        <w:pStyle w:val="Notedebasdepage"/>
      </w:pPr>
      <w:r>
        <w:rPr>
          <w:rStyle w:val="Appelnotedebasdep"/>
        </w:rPr>
        <w:footnoteRef/>
      </w:r>
      <w:r>
        <w:t xml:space="preserve"> L’introduction de cette partie contient quelques curiosités, à commencer par l’expression « homogénéisation des réactions ». L’idée contenue n’est certes pas difficile à comprendre, mais la formulation est assez scandaleuse. On arriverait à une expression à la limite du convenable en remplaçant « réactions » par « milieux réactionnels », mais l’idée d’uniformiser le système (par exemple en agitant) n’a pas grand-chose à voir avec la notion d’homogénéité…</w:t>
      </w:r>
      <w:r>
        <w:br/>
        <w:t xml:space="preserve">Un peu plus bas, autre bizarrerie : le volume du mélange pyridine/méthanol obtenu correspond exactement à la somme des volumes prélevés des deux corps purs. Les données disponibles dans la littérature (K. </w:t>
      </w:r>
      <w:r w:rsidRPr="009F4663">
        <w:rPr>
          <w:rStyle w:val="Rfrencelgre"/>
        </w:rPr>
        <w:t>Nakanishi</w:t>
      </w:r>
      <w:r>
        <w:t xml:space="preserve">, H. </w:t>
      </w:r>
      <w:r w:rsidRPr="009F4663">
        <w:rPr>
          <w:rStyle w:val="Rfrencelgre"/>
        </w:rPr>
        <w:t>Shirai</w:t>
      </w:r>
      <w:r>
        <w:t xml:space="preserve">, </w:t>
      </w:r>
      <w:r w:rsidRPr="002313D4">
        <w:rPr>
          <w:rStyle w:val="Titredulivre"/>
        </w:rPr>
        <w:t>Bull. Chem. Soc. Jap.</w:t>
      </w:r>
      <w:r>
        <w:t xml:space="preserve"> </w:t>
      </w:r>
      <w:r>
        <w:rPr>
          <w:b/>
        </w:rPr>
        <w:t>1970</w:t>
      </w:r>
      <w:r>
        <w:t xml:space="preserve"> (43), 1634-1642) indiquent pourtant une contraction de volume qui peut être estimée à </w:t>
      </w:r>
      <m:oMath>
        <m:r>
          <w:rPr>
            <w:rFonts w:ascii="Asana Math" w:hAnsi="Asana Math"/>
          </w:rPr>
          <m:t xml:space="preserve">7 </m:t>
        </m:r>
        <m:r>
          <m:rPr>
            <m:sty m:val="p"/>
          </m:rPr>
          <w:rPr>
            <w:rFonts w:ascii="Asana Math" w:hAnsi="Asana Math"/>
          </w:rPr>
          <m:t>mL</m:t>
        </m:r>
      </m:oMath>
      <w:r>
        <w:t>, ce qui ne peut pas être compensé par la dissolution du dioxyde de soufre et du diiode.</w:t>
      </w:r>
    </w:p>
  </w:footnote>
  <w:footnote w:id="4">
    <w:p w14:paraId="2B891271" w14:textId="77777777" w:rsidR="000712B4" w:rsidRDefault="000712B4" w:rsidP="000712B4">
      <w:pPr>
        <w:pStyle w:val="Notedebasdepage"/>
      </w:pPr>
      <w:r>
        <w:rPr>
          <w:rStyle w:val="Appelnotedebasdep"/>
        </w:rPr>
        <w:footnoteRef/>
      </w:r>
      <w:r>
        <w:t xml:space="preserve"> L’énoncé ne donne aucune information sur les propriétés basiques de la pyridine. Cela est sans doute considéré comme relevant de la culture générale.</w:t>
      </w:r>
    </w:p>
  </w:footnote>
  <w:footnote w:id="5">
    <w:p w14:paraId="44954AB9" w14:textId="77777777" w:rsidR="000712B4" w:rsidRDefault="000712B4" w:rsidP="000712B4">
      <w:pPr>
        <w:pStyle w:val="Notedebasdepage"/>
      </w:pPr>
      <w:r>
        <w:rPr>
          <w:rStyle w:val="Appelnotedebasdep"/>
        </w:rPr>
        <w:footnoteRef/>
      </w:r>
      <w:r>
        <w:t xml:space="preserve"> Cette neutralisation par la pyridine permet de déplacer la réaction de titrage dans le sens direct.</w:t>
      </w:r>
    </w:p>
  </w:footnote>
  <w:footnote w:id="6">
    <w:p w14:paraId="2E607499" w14:textId="77777777" w:rsidR="000712B4" w:rsidRDefault="000712B4" w:rsidP="000712B4">
      <w:pPr>
        <w:pStyle w:val="Notedebasdepage"/>
      </w:pPr>
      <w:r>
        <w:rPr>
          <w:rStyle w:val="Appelnotedebasdep"/>
        </w:rPr>
        <w:footnoteRef/>
      </w:r>
      <w:r>
        <w:t xml:space="preserve"> La réalité est encore plus complexe : d’une part, en présence d’un excès de pyridine, toutes les espèces sont complexées ; d’autre part, le méthanol participe à la réaction en formant du sulfite de méthyle (avec </w:t>
      </w:r>
      <m:oMath>
        <m:sSub>
          <m:sSubPr>
            <m:ctrlPr>
              <w:rPr>
                <w:rFonts w:ascii="Asana Math" w:hAnsi="Asana Math"/>
              </w:rPr>
            </m:ctrlPr>
          </m:sSubPr>
          <m:e>
            <m:r>
              <m:rPr>
                <m:sty m:val="p"/>
              </m:rPr>
              <w:rPr>
                <w:rFonts w:ascii="Asana Math" w:hAnsi="Asana Math"/>
              </w:rPr>
              <m:t>SO</m:t>
            </m:r>
          </m:e>
          <m:sub>
            <m:r>
              <m:rPr>
                <m:sty m:val="p"/>
              </m:rPr>
              <w:rPr>
                <w:rFonts w:ascii="Asana Math" w:hAnsi="Asana Math"/>
              </w:rPr>
              <m:t>2</m:t>
            </m:r>
          </m:sub>
        </m:sSub>
      </m:oMath>
      <w:r>
        <w:t xml:space="preserve">) et du sulfate de méthyle (avec </w:t>
      </w:r>
      <m:oMath>
        <m:sSub>
          <m:sSubPr>
            <m:ctrlPr>
              <w:rPr>
                <w:rFonts w:ascii="Asana Math" w:hAnsi="Asana Math"/>
              </w:rPr>
            </m:ctrlPr>
          </m:sSubPr>
          <m:e>
            <m:r>
              <m:rPr>
                <m:sty m:val="p"/>
              </m:rPr>
              <w:rPr>
                <w:rFonts w:ascii="Asana Math" w:hAnsi="Asana Math"/>
              </w:rPr>
              <m:t>SO</m:t>
            </m:r>
          </m:e>
          <m:sub>
            <m:r>
              <m:rPr>
                <m:sty m:val="p"/>
              </m:rPr>
              <w:rPr>
                <w:rFonts w:ascii="Asana Math" w:hAnsi="Asana Math"/>
              </w:rPr>
              <m:t>3</m:t>
            </m:r>
          </m:sub>
        </m:sSub>
      </m:oMath>
      <w:r>
        <w:t>), ce qui évite l’hydratation des oxydes de soufre et la consommation d’une seconde molécule d’eau. Ainsi, la présence de méthanol est essentielle, en ce qu’elle assure le contrôle de la stœchiométrie 1:1 entre l’eau et le diiode.</w:t>
      </w:r>
    </w:p>
  </w:footnote>
  <w:footnote w:id="7">
    <w:p w14:paraId="4565DFCF" w14:textId="77777777" w:rsidR="000712B4" w:rsidRPr="001B27AE" w:rsidRDefault="000712B4" w:rsidP="000712B4">
      <w:pPr>
        <w:pStyle w:val="Notedebasdepage"/>
      </w:pPr>
      <w:r>
        <w:rPr>
          <w:rStyle w:val="Appelnotedebasdep"/>
        </w:rPr>
        <w:footnoteRef/>
      </w:r>
      <w:r>
        <w:t xml:space="preserve"> Il est troublant de constater que la composition qui est donnée du réactif se retrouve à l’identique dans </w:t>
      </w:r>
      <w:r w:rsidRPr="00577C8C">
        <w:rPr>
          <w:rStyle w:val="Titredulivre"/>
        </w:rPr>
        <w:t>Cent manipulations de chimie organique et inorganique</w:t>
      </w:r>
      <w:r>
        <w:t xml:space="preserve"> de </w:t>
      </w:r>
      <w:r w:rsidRPr="00577C8C">
        <w:rPr>
          <w:rStyle w:val="Rfrencelgre"/>
        </w:rPr>
        <w:t>J. Mesplède</w:t>
      </w:r>
      <w:r>
        <w:t xml:space="preserve"> et </w:t>
      </w:r>
      <w:r w:rsidRPr="00577C8C">
        <w:rPr>
          <w:rStyle w:val="Rfrencelgre"/>
        </w:rPr>
        <w:t>C. Saluzzo</w:t>
      </w:r>
      <w:r>
        <w:t xml:space="preserve">, à ceci près que le volume de dioxyde de soufre indiqué correspond à un volume de liquide et non de gaz et que la masse de diiode y est mille fois plus importante. La masse volumique du dioxyde de soufre liquide étant cinq cent fois supérieure à celle du gaz (environ </w:t>
      </w:r>
      <m:oMath>
        <m:r>
          <w:rPr>
            <w:rFonts w:ascii="Asana Math" w:hAnsi="Asana Math"/>
          </w:rPr>
          <m:t xml:space="preserve">1,4 </m:t>
        </m:r>
        <m:r>
          <m:rPr>
            <m:sty m:val="p"/>
          </m:rPr>
          <w:rPr>
            <w:rFonts w:ascii="Asana Math" w:hAnsi="Asana Math"/>
          </w:rPr>
          <m:t>g</m:t>
        </m:r>
        <m:r>
          <m:rPr>
            <m:nor/>
          </m:rPr>
          <w:rPr>
            <w:rFonts w:ascii="Asana Math" w:hAnsi="Asana Math"/>
          </w:rPr>
          <m:t>⋅</m:t>
        </m:r>
        <m:sSup>
          <m:sSupPr>
            <m:ctrlPr>
              <w:rPr>
                <w:rFonts w:ascii="Asana Math" w:hAnsi="Asana Math"/>
              </w:rPr>
            </m:ctrlPr>
          </m:sSupPr>
          <m:e>
            <m:r>
              <m:rPr>
                <m:sty m:val="p"/>
              </m:rPr>
              <w:rPr>
                <w:rFonts w:ascii="Asana Math" w:hAnsi="Asana Math"/>
              </w:rPr>
              <m:t>cm</m:t>
            </m:r>
          </m:e>
          <m:sup>
            <m:r>
              <m:rPr>
                <m:sty m:val="p"/>
              </m:rPr>
              <w:rPr>
                <w:rFonts w:ascii="Asana Math" w:hAnsi="Asana Math"/>
              </w:rPr>
              <m:t>-3</m:t>
            </m:r>
          </m:sup>
        </m:sSup>
      </m:oMath>
      <w:r>
        <w:t xml:space="preserve">), la quantité de dioxyde de soufre dans le réactif serait alors encore environ égale à trois fois celle de diiode : ce dernier serait donc toujours limitant. Ces valeurs sont bien moins fantaisistes que celles de l’énoncé : en effet, les réactifs commercialisés indiquent couramment des titres de quelques milligrammes d’eau par millilitre de titrant, ce qui équivaut à concentrations en diiode de l’ordre de </w:t>
      </w:r>
      <m:oMath>
        <m:r>
          <w:rPr>
            <w:rFonts w:ascii="Asana Math" w:hAnsi="Asana Math"/>
          </w:rPr>
          <m:t xml:space="preserve">10 </m:t>
        </m:r>
        <m:r>
          <m:rPr>
            <m:sty m:val="p"/>
          </m:rPr>
          <w:rPr>
            <w:rFonts w:ascii="Asana Math" w:hAnsi="Asana Math"/>
          </w:rPr>
          <m:t>g</m:t>
        </m:r>
        <m:r>
          <m:rPr>
            <m:nor/>
          </m:rPr>
          <w:rPr>
            <w:rFonts w:ascii="Asana Math" w:hAnsi="Asana Math"/>
          </w:rPr>
          <m:t>⋅</m:t>
        </m:r>
        <m:sSup>
          <m:sSupPr>
            <m:ctrlPr>
              <w:rPr>
                <w:rFonts w:ascii="Asana Math" w:hAnsi="Asana Math"/>
              </w:rPr>
            </m:ctrlPr>
          </m:sSupPr>
          <m:e>
            <m:r>
              <m:rPr>
                <m:sty m:val="p"/>
              </m:rPr>
              <w:rPr>
                <w:rFonts w:ascii="Asana Math" w:hAnsi="Asana Math"/>
              </w:rPr>
              <m:t>L</m:t>
            </m:r>
          </m:e>
          <m:sup>
            <m:r>
              <m:rPr>
                <m:sty m:val="p"/>
              </m:rPr>
              <w:rPr>
                <w:rFonts w:ascii="Asana Math" w:hAnsi="Asana Math"/>
              </w:rPr>
              <m:t>-1</m:t>
            </m:r>
          </m:sup>
        </m:sSup>
      </m:oMath>
      <w:r>
        <w:t xml:space="preserve">. La grande similarité des valeurs laisse penser que les auteurs du sujet ont bidouillé les valeurs d’origine – on ne voit pas trop pour quelle raison… en tout cas, pas le souci d’être réaliste : obtenir un tel volume à l’équivalence avec un réactif commercial à </w:t>
      </w:r>
      <m:oMath>
        <m:r>
          <w:rPr>
            <w:rFonts w:ascii="Asana Math" w:hAnsi="Asana Math"/>
          </w:rPr>
          <m:t xml:space="preserve">1 </m:t>
        </m:r>
        <m:r>
          <m:rPr>
            <m:sty m:val="p"/>
          </m:rPr>
          <w:rPr>
            <w:rFonts w:ascii="Asana Math" w:hAnsi="Asana Math"/>
          </w:rPr>
          <m:t>mg</m:t>
        </m:r>
      </m:oMath>
      <w:r>
        <w:t xml:space="preserve"> d’eau par </w:t>
      </w:r>
      <m:oMath>
        <m:r>
          <m:rPr>
            <m:sty m:val="p"/>
          </m:rPr>
          <w:rPr>
            <w:rFonts w:ascii="Asana Math" w:hAnsi="Asana Math"/>
          </w:rPr>
          <m:t>mL</m:t>
        </m:r>
      </m:oMath>
      <w:r>
        <w:t xml:space="preserve"> de titrant (parmi les moins concentrés en diiode) correspondrait à une concentration </w:t>
      </w:r>
      <m:oMath>
        <m:r>
          <w:rPr>
            <w:rFonts w:ascii="Asana Math" w:hAnsi="Asana Math"/>
          </w:rPr>
          <m:t>150</m:t>
        </m:r>
      </m:oMath>
      <w:r>
        <w:t xml:space="preserve"> fois plus importante que celle attendue par les auteurs !</w:t>
      </w:r>
    </w:p>
  </w:footnote>
  <w:footnote w:id="8">
    <w:p w14:paraId="7047D3F3" w14:textId="77777777" w:rsidR="000712B4" w:rsidRDefault="000712B4" w:rsidP="000712B4">
      <w:pPr>
        <w:pStyle w:val="Notedebasdepage"/>
      </w:pPr>
      <w:r>
        <w:rPr>
          <w:rStyle w:val="Appelnotedebasdep"/>
        </w:rPr>
        <w:footnoteRef/>
      </w:r>
      <w:r>
        <w:t xml:space="preserve"> La détermination précise de l’équivalence est couramment réalisée par potentiométrie, ou encore par coulométrie dans le cas de très faibles teneurs en eau.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E4138"/>
    <w:multiLevelType w:val="multilevel"/>
    <w:tmpl w:val="86F60270"/>
    <w:styleLink w:val="NumrosCCPMines-PontsXENS1111a"/>
    <w:lvl w:ilvl="0">
      <w:start w:val="1"/>
      <w:numFmt w:val="decimal"/>
      <w:suff w:val="nothing"/>
      <w:lvlText w:val="%1.  "/>
      <w:lvlJc w:val="left"/>
      <w:pPr>
        <w:ind w:left="0" w:firstLine="0"/>
      </w:pPr>
      <w:rPr>
        <w:rFonts w:asciiTheme="majorHAnsi" w:hAnsiTheme="majorHAnsi" w:hint="default"/>
        <w:b/>
        <w:i w:val="0"/>
        <w14:numForm w14:val="lining"/>
        <w14:numSpacing w14:val="tabular"/>
      </w:rPr>
    </w:lvl>
    <w:lvl w:ilvl="1">
      <w:start w:val="1"/>
      <w:numFmt w:val="decimal"/>
      <w:suff w:val="nothing"/>
      <w:lvlText w:val="%1.%2.  "/>
      <w:lvlJc w:val="left"/>
      <w:pPr>
        <w:ind w:left="0" w:firstLine="0"/>
      </w:pPr>
      <w:rPr>
        <w:rFonts w:asciiTheme="majorHAnsi" w:hAnsiTheme="majorHAnsi" w:hint="default"/>
        <w:b/>
        <w:i w:val="0"/>
        <w14:numForm w14:val="lining"/>
        <w14:numSpacing w14:val="tabular"/>
      </w:rPr>
    </w:lvl>
    <w:lvl w:ilvl="2">
      <w:start w:val="1"/>
      <w:numFmt w:val="decimal"/>
      <w:suff w:val="nothing"/>
      <w:lvlText w:val="%1.%2.%3.  "/>
      <w:lvlJc w:val="left"/>
      <w:pPr>
        <w:ind w:left="0" w:firstLine="0"/>
      </w:pPr>
      <w:rPr>
        <w:rFonts w:asciiTheme="majorHAnsi" w:hAnsiTheme="majorHAnsi" w:hint="default"/>
        <w:b/>
        <w:i w:val="0"/>
        <w14:numForm w14:val="lining"/>
        <w14:numSpacing w14:val="tabular"/>
      </w:rPr>
    </w:lvl>
    <w:lvl w:ilvl="3">
      <w:start w:val="1"/>
      <w:numFmt w:val="decimal"/>
      <w:suff w:val="nothing"/>
      <w:lvlText w:val="%1.%2.%3.%4.  "/>
      <w:lvlJc w:val="left"/>
      <w:pPr>
        <w:ind w:left="0" w:firstLine="0"/>
      </w:pPr>
      <w:rPr>
        <w:rFonts w:asciiTheme="majorHAnsi" w:hAnsiTheme="majorHAnsi" w:hint="default"/>
        <w:b/>
        <w:i w:val="0"/>
        <w14:numForm w14:val="lining"/>
        <w14:numSpacing w14:val="tabular"/>
      </w:rPr>
    </w:lvl>
    <w:lvl w:ilvl="4">
      <w:start w:val="1"/>
      <w:numFmt w:val="lowerLetter"/>
      <w:suff w:val="nothing"/>
      <w:lvlText w:val="%5.  "/>
      <w:lvlJc w:val="left"/>
      <w:pPr>
        <w:ind w:left="0" w:firstLine="0"/>
      </w:pPr>
      <w:rPr>
        <w:rFonts w:asciiTheme="majorHAnsi" w:hAnsiTheme="majorHAnsi" w:hint="default"/>
        <w:b/>
        <w:i w:val="0"/>
        <w14:numForm w14:val="lining"/>
        <w14:numSpacing w14:val="tabular"/>
      </w:rPr>
    </w:lvl>
    <w:lvl w:ilvl="5">
      <w:start w:val="1"/>
      <w:numFmt w:val="none"/>
      <w:suff w:val="nothing"/>
      <w:lvlText w:val=""/>
      <w:lvlJc w:val="left"/>
      <w:pPr>
        <w:ind w:left="0" w:firstLine="0"/>
      </w:pPr>
      <w:rPr>
        <w:rFonts w:asciiTheme="majorHAnsi" w:hAnsiTheme="majorHAnsi" w:hint="default"/>
        <w:b w:val="0"/>
        <w:i w:val="0"/>
        <w14:numForm w14:val="lining"/>
        <w14:numSpacing w14:val="tabular"/>
      </w:rPr>
    </w:lvl>
    <w:lvl w:ilvl="6">
      <w:start w:val="1"/>
      <w:numFmt w:val="none"/>
      <w:suff w:val="nothing"/>
      <w:lvlText w:val=""/>
      <w:lvlJc w:val="left"/>
      <w:pPr>
        <w:ind w:left="0" w:firstLine="0"/>
      </w:pPr>
      <w:rPr>
        <w:rFonts w:asciiTheme="majorHAnsi" w:hAnsiTheme="majorHAnsi" w:hint="default"/>
        <w14:numForm w14:val="lining"/>
        <w14:numSpacing w14:val="tabular"/>
      </w:rPr>
    </w:lvl>
    <w:lvl w:ilvl="7">
      <w:start w:val="1"/>
      <w:numFmt w:val="none"/>
      <w:suff w:val="nothing"/>
      <w:lvlText w:val=""/>
      <w:lvlJc w:val="left"/>
      <w:pPr>
        <w:ind w:left="0" w:firstLine="0"/>
      </w:pPr>
      <w:rPr>
        <w:rFonts w:asciiTheme="majorHAnsi" w:hAnsiTheme="majorHAnsi" w:hint="default"/>
        <w14:numForm w14:val="lining"/>
        <w14:numSpacing w14:val="tabular"/>
      </w:rPr>
    </w:lvl>
    <w:lvl w:ilvl="8">
      <w:start w:val="1"/>
      <w:numFmt w:val="none"/>
      <w:suff w:val="nothing"/>
      <w:lvlText w:val=""/>
      <w:lvlJc w:val="left"/>
      <w:pPr>
        <w:ind w:left="0" w:firstLine="0"/>
      </w:pPr>
      <w:rPr>
        <w:rFonts w:asciiTheme="majorHAnsi" w:hAnsiTheme="majorHAnsi" w:hint="default"/>
        <w14:numForm w14:val="lining"/>
        <w14:numSpacing w14:val="tabular"/>
      </w:rPr>
    </w:lvl>
  </w:abstractNum>
  <w:abstractNum w:abstractNumId="1" w15:restartNumberingAfterBreak="0">
    <w:nsid w:val="610A0C3C"/>
    <w:multiLevelType w:val="multilevel"/>
    <w:tmpl w:val="86F60270"/>
    <w:numStyleLink w:val="NumrosCCPMines-PontsXENS1111a"/>
  </w:abstractNum>
  <w:num w:numId="1" w16cid:durableId="1898006050">
    <w:abstractNumId w:val="0"/>
  </w:num>
  <w:num w:numId="2" w16cid:durableId="10730889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C25"/>
    <w:rsid w:val="000704FB"/>
    <w:rsid w:val="000712B4"/>
    <w:rsid w:val="00264A50"/>
    <w:rsid w:val="00536FF2"/>
    <w:rsid w:val="007C72DD"/>
    <w:rsid w:val="0089534D"/>
    <w:rsid w:val="008C79AA"/>
    <w:rsid w:val="00A85BD8"/>
    <w:rsid w:val="00AA4C25"/>
    <w:rsid w:val="00BD45E0"/>
    <w:rsid w:val="00D1496F"/>
    <w:rsid w:val="00E85B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DC7327"/>
  <w15:chartTrackingRefBased/>
  <w15:docId w15:val="{F8A19C97-0DFE-4882-A5AF-F6F7125E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6"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26"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21" w:qFormat="1"/>
    <w:lsdException w:name="Intense Reference" w:uiPriority="32" w:qFormat="1"/>
    <w:lsdException w:name="Book Title" w:uiPriority="22"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next w:val="Corpsdetexte"/>
    <w:link w:val="Titre1Car"/>
    <w:uiPriority w:val="1"/>
    <w:qFormat/>
    <w:rsid w:val="000712B4"/>
    <w:pPr>
      <w:keepNext/>
      <w:keepLines/>
      <w:suppressAutoHyphens/>
      <w:spacing w:before="240" w:after="0" w:line="240" w:lineRule="auto"/>
      <w:contextualSpacing/>
      <w:outlineLvl w:val="0"/>
    </w:pPr>
    <w:rPr>
      <w:rFonts w:asciiTheme="majorHAnsi" w:eastAsiaTheme="majorEastAsia" w:hAnsiTheme="majorHAnsi" w:cstheme="majorBidi"/>
      <w:b/>
      <w:bCs/>
      <w:color w:val="806000" w:themeColor="accent4" w:themeShade="80"/>
      <w:kern w:val="16"/>
      <w:sz w:val="28"/>
      <w:szCs w:val="28"/>
      <w:lang w:bidi="en-US"/>
      <w14:ligatures w14:val="standard"/>
    </w:rPr>
  </w:style>
  <w:style w:type="paragraph" w:styleId="Titre2">
    <w:name w:val="heading 2"/>
    <w:next w:val="Corpsdetexte"/>
    <w:link w:val="Titre2Car"/>
    <w:uiPriority w:val="1"/>
    <w:qFormat/>
    <w:rsid w:val="000712B4"/>
    <w:pPr>
      <w:keepNext/>
      <w:keepLines/>
      <w:suppressAutoHyphens/>
      <w:spacing w:before="180" w:after="0" w:line="240" w:lineRule="auto"/>
      <w:contextualSpacing/>
      <w:outlineLvl w:val="1"/>
    </w:pPr>
    <w:rPr>
      <w:rFonts w:asciiTheme="majorHAnsi" w:eastAsiaTheme="majorEastAsia" w:hAnsiTheme="majorHAnsi" w:cstheme="majorBidi"/>
      <w:b/>
      <w:bCs/>
      <w:color w:val="385623" w:themeColor="accent6" w:themeShade="80"/>
      <w:kern w:val="16"/>
      <w:sz w:val="26"/>
      <w:szCs w:val="26"/>
      <w:lang w:bidi="en-US"/>
      <w14:ligatures w14:val="standard"/>
    </w:rPr>
  </w:style>
  <w:style w:type="paragraph" w:styleId="Titre3">
    <w:name w:val="heading 3"/>
    <w:next w:val="Corpsdetexte"/>
    <w:link w:val="Titre3Car"/>
    <w:uiPriority w:val="1"/>
    <w:qFormat/>
    <w:rsid w:val="000712B4"/>
    <w:pPr>
      <w:keepNext/>
      <w:keepLines/>
      <w:suppressAutoHyphens/>
      <w:spacing w:before="120" w:after="0" w:line="240" w:lineRule="auto"/>
      <w:contextualSpacing/>
      <w:outlineLvl w:val="2"/>
    </w:pPr>
    <w:rPr>
      <w:rFonts w:asciiTheme="majorHAnsi" w:eastAsiaTheme="majorEastAsia" w:hAnsiTheme="majorHAnsi" w:cstheme="majorBidi"/>
      <w:b/>
      <w:bCs/>
      <w:color w:val="1F3864" w:themeColor="accent1" w:themeShade="80"/>
      <w:kern w:val="16"/>
      <w:sz w:val="23"/>
      <w:szCs w:val="21"/>
      <w:lang w:bidi="en-US"/>
      <w14:ligatures w14:val="standar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yle1">
    <w:name w:val="Style 1"/>
    <w:basedOn w:val="Normal"/>
    <w:rsid w:val="000712B4"/>
    <w:pPr>
      <w:widowControl w:val="0"/>
      <w:autoSpaceDE w:val="0"/>
      <w:autoSpaceDN w:val="0"/>
      <w:adjustRightInd w:val="0"/>
      <w:spacing w:after="0" w:line="240" w:lineRule="auto"/>
    </w:pPr>
    <w:rPr>
      <w:rFonts w:ascii="Times New Roman" w:eastAsia="Times New Roman" w:hAnsi="Times New Roman" w:cs="Times New Roman"/>
      <w:sz w:val="24"/>
      <w:szCs w:val="24"/>
      <w:lang w:eastAsia="fr-FR"/>
    </w:rPr>
  </w:style>
  <w:style w:type="paragraph" w:customStyle="1" w:styleId="Style2">
    <w:name w:val="Style 2"/>
    <w:basedOn w:val="Normal"/>
    <w:rsid w:val="000712B4"/>
    <w:pPr>
      <w:widowControl w:val="0"/>
      <w:autoSpaceDE w:val="0"/>
      <w:autoSpaceDN w:val="0"/>
      <w:adjustRightInd w:val="0"/>
      <w:spacing w:after="0" w:line="240" w:lineRule="auto"/>
    </w:pPr>
    <w:rPr>
      <w:rFonts w:ascii="Times New Roman" w:eastAsia="Times New Roman" w:hAnsi="Times New Roman" w:cs="Times New Roman"/>
      <w:sz w:val="20"/>
      <w:szCs w:val="20"/>
      <w:lang w:eastAsia="fr-FR"/>
    </w:rPr>
  </w:style>
  <w:style w:type="character" w:customStyle="1" w:styleId="CharacterStyle2">
    <w:name w:val="Character Style 2"/>
    <w:rsid w:val="000712B4"/>
    <w:rPr>
      <w:sz w:val="20"/>
      <w:szCs w:val="20"/>
    </w:rPr>
  </w:style>
  <w:style w:type="character" w:customStyle="1" w:styleId="Titre1Car">
    <w:name w:val="Titre 1 Car"/>
    <w:basedOn w:val="Policepardfaut"/>
    <w:link w:val="Titre1"/>
    <w:uiPriority w:val="1"/>
    <w:rsid w:val="000712B4"/>
    <w:rPr>
      <w:rFonts w:asciiTheme="majorHAnsi" w:eastAsiaTheme="majorEastAsia" w:hAnsiTheme="majorHAnsi" w:cstheme="majorBidi"/>
      <w:b/>
      <w:bCs/>
      <w:color w:val="806000" w:themeColor="accent4" w:themeShade="80"/>
      <w:kern w:val="16"/>
      <w:sz w:val="28"/>
      <w:szCs w:val="28"/>
      <w:lang w:bidi="en-US"/>
      <w14:ligatures w14:val="standard"/>
    </w:rPr>
  </w:style>
  <w:style w:type="character" w:customStyle="1" w:styleId="Titre2Car">
    <w:name w:val="Titre 2 Car"/>
    <w:basedOn w:val="Policepardfaut"/>
    <w:link w:val="Titre2"/>
    <w:uiPriority w:val="1"/>
    <w:rsid w:val="000712B4"/>
    <w:rPr>
      <w:rFonts w:asciiTheme="majorHAnsi" w:eastAsiaTheme="majorEastAsia" w:hAnsiTheme="majorHAnsi" w:cstheme="majorBidi"/>
      <w:b/>
      <w:bCs/>
      <w:color w:val="385623" w:themeColor="accent6" w:themeShade="80"/>
      <w:kern w:val="16"/>
      <w:sz w:val="26"/>
      <w:szCs w:val="26"/>
      <w:lang w:bidi="en-US"/>
      <w14:ligatures w14:val="standard"/>
    </w:rPr>
  </w:style>
  <w:style w:type="character" w:customStyle="1" w:styleId="Titre3Car">
    <w:name w:val="Titre 3 Car"/>
    <w:basedOn w:val="Policepardfaut"/>
    <w:link w:val="Titre3"/>
    <w:uiPriority w:val="1"/>
    <w:rsid w:val="000712B4"/>
    <w:rPr>
      <w:rFonts w:asciiTheme="majorHAnsi" w:eastAsiaTheme="majorEastAsia" w:hAnsiTheme="majorHAnsi" w:cstheme="majorBidi"/>
      <w:b/>
      <w:bCs/>
      <w:color w:val="1F3864" w:themeColor="accent1" w:themeShade="80"/>
      <w:kern w:val="16"/>
      <w:sz w:val="23"/>
      <w:szCs w:val="21"/>
      <w:lang w:bidi="en-US"/>
      <w14:ligatures w14:val="standard"/>
    </w:rPr>
  </w:style>
  <w:style w:type="paragraph" w:styleId="Corpsdetexte">
    <w:name w:val="Body Text"/>
    <w:basedOn w:val="Normal"/>
    <w:link w:val="CorpsdetexteCar"/>
    <w:uiPriority w:val="99"/>
    <w:rsid w:val="000712B4"/>
    <w:pPr>
      <w:widowControl w:val="0"/>
      <w:spacing w:before="120" w:after="0" w:line="240" w:lineRule="auto"/>
      <w:ind w:firstLine="113"/>
      <w:jc w:val="both"/>
    </w:pPr>
    <w:rPr>
      <w:rFonts w:eastAsiaTheme="minorEastAsia"/>
      <w:kern w:val="16"/>
      <w:sz w:val="21"/>
      <w:szCs w:val="21"/>
      <w:lang w:bidi="en-US"/>
      <w14:ligatures w14:val="standard"/>
    </w:rPr>
  </w:style>
  <w:style w:type="character" w:customStyle="1" w:styleId="CorpsdetexteCar">
    <w:name w:val="Corps de texte Car"/>
    <w:basedOn w:val="Policepardfaut"/>
    <w:link w:val="Corpsdetexte"/>
    <w:uiPriority w:val="99"/>
    <w:rsid w:val="000712B4"/>
    <w:rPr>
      <w:rFonts w:eastAsiaTheme="minorEastAsia"/>
      <w:kern w:val="16"/>
      <w:sz w:val="21"/>
      <w:szCs w:val="21"/>
      <w:lang w:bidi="en-US"/>
      <w14:ligatures w14:val="standard"/>
    </w:rPr>
  </w:style>
  <w:style w:type="paragraph" w:styleId="Notedebasdepage">
    <w:name w:val="footnote text"/>
    <w:basedOn w:val="Normal"/>
    <w:link w:val="NotedebasdepageCar"/>
    <w:uiPriority w:val="26"/>
    <w:rsid w:val="000712B4"/>
    <w:pPr>
      <w:widowControl w:val="0"/>
      <w:spacing w:after="0" w:line="240" w:lineRule="auto"/>
    </w:pPr>
    <w:rPr>
      <w:rFonts w:eastAsiaTheme="minorEastAsia"/>
      <w:kern w:val="16"/>
      <w:sz w:val="19"/>
      <w:szCs w:val="20"/>
      <w:lang w:bidi="en-US"/>
      <w14:ligatures w14:val="standard"/>
    </w:rPr>
  </w:style>
  <w:style w:type="character" w:customStyle="1" w:styleId="NotedebasdepageCar">
    <w:name w:val="Note de bas de page Car"/>
    <w:basedOn w:val="Policepardfaut"/>
    <w:link w:val="Notedebasdepage"/>
    <w:uiPriority w:val="26"/>
    <w:rsid w:val="000712B4"/>
    <w:rPr>
      <w:rFonts w:eastAsiaTheme="minorEastAsia"/>
      <w:kern w:val="16"/>
      <w:sz w:val="19"/>
      <w:szCs w:val="20"/>
      <w:lang w:bidi="en-US"/>
      <w14:ligatures w14:val="standard"/>
    </w:rPr>
  </w:style>
  <w:style w:type="character" w:styleId="Appelnotedebasdep">
    <w:name w:val="footnote reference"/>
    <w:uiPriority w:val="26"/>
    <w:rsid w:val="000712B4"/>
    <w:rPr>
      <w:vertAlign w:val="superscript"/>
    </w:rPr>
  </w:style>
  <w:style w:type="numbering" w:customStyle="1" w:styleId="NumrosCCPMines-PontsXENS1111a">
    <w:name w:val="Numéros CCP Mines-Ponts X ENS [1.1.1.1/a]"/>
    <w:uiPriority w:val="99"/>
    <w:rsid w:val="000712B4"/>
    <w:pPr>
      <w:numPr>
        <w:numId w:val="1"/>
      </w:numPr>
    </w:pPr>
  </w:style>
  <w:style w:type="table" w:styleId="Grilledutableau">
    <w:name w:val="Table Grid"/>
    <w:basedOn w:val="TableauNormal"/>
    <w:uiPriority w:val="59"/>
    <w:rsid w:val="000712B4"/>
    <w:pPr>
      <w:spacing w:after="0" w:line="240" w:lineRule="auto"/>
    </w:pPr>
    <w:rPr>
      <w:rFonts w:eastAsiaTheme="minorEastAsia"/>
      <w:sz w:val="21"/>
      <w:szCs w:val="21"/>
      <w:lang w:val="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sreprise">
    <w:name w:val="Corps reprise"/>
    <w:basedOn w:val="Corpsdetexte"/>
    <w:next w:val="Corpsdetexte"/>
    <w:uiPriority w:val="3"/>
    <w:rsid w:val="000712B4"/>
    <w:pPr>
      <w:spacing w:before="0"/>
      <w:ind w:firstLine="0"/>
    </w:pPr>
  </w:style>
  <w:style w:type="character" w:styleId="Rfrencelgre">
    <w:name w:val="Subtle Reference"/>
    <w:uiPriority w:val="21"/>
    <w:qFormat/>
    <w:rsid w:val="000712B4"/>
    <w:rPr>
      <w:caps w:val="0"/>
      <w:smallCaps/>
    </w:rPr>
  </w:style>
  <w:style w:type="character" w:styleId="Titredulivre">
    <w:name w:val="Book Title"/>
    <w:uiPriority w:val="22"/>
    <w:qFormat/>
    <w:rsid w:val="000712B4"/>
    <w:rPr>
      <w:i/>
      <w:iCs/>
    </w:rPr>
  </w:style>
  <w:style w:type="paragraph" w:customStyle="1" w:styleId="Figure">
    <w:name w:val="Figure"/>
    <w:basedOn w:val="Normal"/>
    <w:next w:val="Normal"/>
    <w:uiPriority w:val="6"/>
    <w:qFormat/>
    <w:rsid w:val="000712B4"/>
    <w:pPr>
      <w:keepLines/>
      <w:widowControl w:val="0"/>
      <w:suppressAutoHyphens/>
      <w:spacing w:after="0" w:line="240" w:lineRule="auto"/>
      <w:jc w:val="center"/>
    </w:pPr>
    <w:rPr>
      <w:rFonts w:eastAsiaTheme="minorEastAsia"/>
      <w:kern w:val="16"/>
      <w:sz w:val="19"/>
      <w:szCs w:val="21"/>
      <w:lang w:bidi="en-US"/>
      <w14:ligatures w14:val="standard"/>
      <w14:numForm w14:val="lining"/>
      <w14:numSpacing w14:val="tabular"/>
    </w:rPr>
  </w:style>
  <w:style w:type="paragraph" w:customStyle="1" w:styleId="Figurelgende">
    <w:name w:val="Figure légendée"/>
    <w:basedOn w:val="Figure"/>
    <w:next w:val="Lgende"/>
    <w:uiPriority w:val="6"/>
    <w:qFormat/>
    <w:rsid w:val="000712B4"/>
    <w:pPr>
      <w:keepNext/>
    </w:pPr>
  </w:style>
  <w:style w:type="paragraph" w:styleId="Lgende">
    <w:name w:val="caption"/>
    <w:basedOn w:val="Normal"/>
    <w:next w:val="Normal"/>
    <w:uiPriority w:val="35"/>
    <w:semiHidden/>
    <w:unhideWhenUsed/>
    <w:qFormat/>
    <w:rsid w:val="000712B4"/>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oleObject" Target="embeddings/oleObject2.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oleObject" Target="embeddings/oleObject1.bin"/><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oleObject" Target="embeddings/oleObject3.bin"/><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7.emf"/><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49</TotalTime>
  <Pages>12</Pages>
  <Words>1968</Words>
  <Characters>10827</Characters>
  <Application>Microsoft Office Word</Application>
  <DocSecurity>0</DocSecurity>
  <Lines>90</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Christine</cp:lastModifiedBy>
  <cp:revision>5</cp:revision>
  <dcterms:created xsi:type="dcterms:W3CDTF">2022-10-26T20:29:00Z</dcterms:created>
  <dcterms:modified xsi:type="dcterms:W3CDTF">2022-10-26T21:37:00Z</dcterms:modified>
</cp:coreProperties>
</file>