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772"/>
      </w:tblGrid>
      <w:tr w:rsidR="007461DA" w14:paraId="50C6F2FF" w14:textId="77777777">
        <w:trPr>
          <w:trHeight w:val="920"/>
        </w:trPr>
        <w:tc>
          <w:tcPr>
            <w:tcW w:w="10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BC7FD6" w14:textId="77777777" w:rsidR="007461DA" w:rsidRDefault="001D0536">
            <w:pPr>
              <w:pStyle w:val="Textbody"/>
              <w:jc w:val="center"/>
              <w:rPr>
                <w:rFonts w:ascii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hAnsi="Calibri"/>
                <w:b/>
                <w:bCs/>
                <w:sz w:val="32"/>
                <w:szCs w:val="32"/>
              </w:rPr>
              <w:t>TD de Chimie n°16</w:t>
            </w:r>
          </w:p>
          <w:p w14:paraId="2980E466" w14:textId="77777777" w:rsidR="007461DA" w:rsidRDefault="001D0536">
            <w:pPr>
              <w:pStyle w:val="Textbody"/>
              <w:jc w:val="center"/>
              <w:rPr>
                <w:rFonts w:ascii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hAnsi="Calibri"/>
                <w:b/>
                <w:bCs/>
                <w:sz w:val="32"/>
                <w:szCs w:val="32"/>
              </w:rPr>
              <w:t>Protection de fonctions en chimie organique</w:t>
            </w:r>
          </w:p>
        </w:tc>
      </w:tr>
    </w:tbl>
    <w:p w14:paraId="7B650796" w14:textId="77777777" w:rsidR="007461DA" w:rsidRDefault="007461DA">
      <w:pPr>
        <w:pStyle w:val="Textbody"/>
        <w:jc w:val="center"/>
        <w:rPr>
          <w:rFonts w:ascii="Calibri" w:hAnsi="Calibri"/>
          <w:b/>
          <w:bCs/>
          <w:i/>
          <w:iCs/>
          <w:sz w:val="28"/>
          <w:szCs w:val="28"/>
        </w:rPr>
      </w:pPr>
    </w:p>
    <w:p w14:paraId="6DE0F55C" w14:textId="77777777" w:rsidR="007461DA" w:rsidRDefault="001D0536">
      <w:pPr>
        <w:pStyle w:val="Textbody"/>
        <w:jc w:val="center"/>
        <w:rPr>
          <w:rFonts w:ascii="Calibri" w:hAnsi="Calibri"/>
          <w:b/>
          <w:bCs/>
          <w:i/>
          <w:iCs/>
        </w:rPr>
      </w:pPr>
      <w:r>
        <w:rPr>
          <w:rFonts w:ascii="Calibri" w:hAnsi="Calibri"/>
          <w:b/>
          <w:bCs/>
          <w:i/>
          <w:iCs/>
        </w:rPr>
        <w:t>TD : exercices n° 1 – 2 – 4 – 5</w:t>
      </w:r>
    </w:p>
    <w:p w14:paraId="6A31AB9A" w14:textId="77777777" w:rsidR="007461DA" w:rsidRDefault="007461DA">
      <w:pPr>
        <w:pStyle w:val="Textbody"/>
        <w:jc w:val="center"/>
        <w:rPr>
          <w:rFonts w:ascii="Calibri" w:hAnsi="Calibri"/>
          <w:sz w:val="20"/>
          <w:szCs w:val="20"/>
        </w:rPr>
      </w:pPr>
    </w:p>
    <w:tbl>
      <w:tblPr>
        <w:tblW w:w="10745" w:type="dxa"/>
        <w:tblInd w:w="1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36"/>
        <w:gridCol w:w="5209"/>
      </w:tblGrid>
      <w:tr w:rsidR="007461DA" w14:paraId="6A2FE6AB" w14:textId="77777777">
        <w:tc>
          <w:tcPr>
            <w:tcW w:w="5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1236B" w14:textId="77777777" w:rsidR="007461DA" w:rsidRDefault="001D0536">
            <w:pPr>
              <w:pStyle w:val="Standard"/>
              <w:snapToGrid w:val="0"/>
              <w:jc w:val="center"/>
              <w:rPr>
                <w:rFonts w:cs="Arial"/>
                <w:b/>
                <w:sz w:val="21"/>
                <w:szCs w:val="21"/>
              </w:rPr>
            </w:pPr>
            <w:r>
              <w:rPr>
                <w:rFonts w:cs="Arial"/>
                <w:b/>
                <w:sz w:val="21"/>
                <w:szCs w:val="21"/>
              </w:rPr>
              <w:t>Notions et contenus</w:t>
            </w:r>
          </w:p>
        </w:tc>
        <w:tc>
          <w:tcPr>
            <w:tcW w:w="5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0865A2" w14:textId="77777777" w:rsidR="007461DA" w:rsidRDefault="001D0536">
            <w:pPr>
              <w:pStyle w:val="Standard"/>
              <w:snapToGrid w:val="0"/>
              <w:jc w:val="center"/>
              <w:rPr>
                <w:rFonts w:cs="Arial"/>
                <w:b/>
                <w:sz w:val="21"/>
                <w:szCs w:val="21"/>
              </w:rPr>
            </w:pPr>
            <w:r>
              <w:rPr>
                <w:rFonts w:cs="Arial"/>
                <w:b/>
                <w:sz w:val="21"/>
                <w:szCs w:val="21"/>
              </w:rPr>
              <w:t>Capacités exigibles</w:t>
            </w:r>
          </w:p>
        </w:tc>
      </w:tr>
      <w:tr w:rsidR="007461DA" w14:paraId="5EAB151B" w14:textId="77777777">
        <w:tc>
          <w:tcPr>
            <w:tcW w:w="5536" w:type="dxa"/>
            <w:tcBorders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120D6" w14:textId="77777777" w:rsidR="007461DA" w:rsidRDefault="001D0536">
            <w:pPr>
              <w:pStyle w:val="Standard"/>
              <w:snapToGrid w:val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Activation électrophile du groupe carbonyle :</w:t>
            </w:r>
          </w:p>
          <w:p w14:paraId="08458F1B" w14:textId="77777777" w:rsidR="007461DA" w:rsidRDefault="001D0536">
            <w:pPr>
              <w:pStyle w:val="Standard"/>
              <w:numPr>
                <w:ilvl w:val="0"/>
                <w:numId w:val="15"/>
              </w:numPr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Acétalisation</w:t>
            </w:r>
            <w:proofErr w:type="spellEnd"/>
            <w:r>
              <w:rPr>
                <w:sz w:val="21"/>
                <w:szCs w:val="21"/>
              </w:rPr>
              <w:t xml:space="preserve"> des aldéhydes et des cétones : conditions expérimentales (APTS, appareillage de Dean-Stark), mécanisme limite de l’</w:t>
            </w:r>
            <w:proofErr w:type="spellStart"/>
            <w:r>
              <w:rPr>
                <w:sz w:val="21"/>
                <w:szCs w:val="21"/>
              </w:rPr>
              <w:t>acétalisation</w:t>
            </w:r>
            <w:proofErr w:type="spellEnd"/>
            <w:r>
              <w:rPr>
                <w:sz w:val="21"/>
                <w:szCs w:val="21"/>
              </w:rPr>
              <w:t xml:space="preserve"> en milieu acide.</w:t>
            </w:r>
          </w:p>
          <w:p w14:paraId="6F8FBEB8" w14:textId="77777777" w:rsidR="007461DA" w:rsidRDefault="001D0536">
            <w:pPr>
              <w:pStyle w:val="Standard"/>
              <w:numPr>
                <w:ilvl w:val="0"/>
                <w:numId w:val="14"/>
              </w:numPr>
            </w:pPr>
            <w:r w:rsidRPr="00C7241B">
              <w:rPr>
                <w:sz w:val="22"/>
                <w:szCs w:val="22"/>
              </w:rPr>
              <w:t xml:space="preserve">Hémiacétalisation </w:t>
            </w:r>
            <w:proofErr w:type="spellStart"/>
            <w:r w:rsidRPr="00C7241B">
              <w:rPr>
                <w:sz w:val="22"/>
                <w:szCs w:val="22"/>
              </w:rPr>
              <w:t>acido</w:t>
            </w:r>
            <w:proofErr w:type="spellEnd"/>
            <w:r w:rsidRPr="00C7241B">
              <w:rPr>
                <w:sz w:val="22"/>
                <w:szCs w:val="22"/>
              </w:rPr>
              <w:t>-catalysée du glucose : conditions opératoires, mécanisme limite de l’hémiacétalisation en milieu acide</w:t>
            </w:r>
            <w:r>
              <w:t>.</w:t>
            </w:r>
          </w:p>
        </w:tc>
        <w:tc>
          <w:tcPr>
            <w:tcW w:w="52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496B8" w14:textId="77777777" w:rsidR="007461DA" w:rsidRDefault="001D0536">
            <w:pPr>
              <w:pStyle w:val="Standard"/>
              <w:snapToGrid w:val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Expliquer qualitativement l’augmentation de l’</w:t>
            </w:r>
            <w:proofErr w:type="spellStart"/>
            <w:r>
              <w:rPr>
                <w:color w:val="000000"/>
                <w:sz w:val="21"/>
                <w:szCs w:val="21"/>
              </w:rPr>
              <w:t>électrophilie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du groupe carbonyle par protonation de celui-ci.</w:t>
            </w:r>
          </w:p>
          <w:p w14:paraId="7767170A" w14:textId="77777777" w:rsidR="007461DA" w:rsidRDefault="007461DA">
            <w:pPr>
              <w:pStyle w:val="Standard"/>
              <w:rPr>
                <w:color w:val="000000"/>
                <w:sz w:val="21"/>
                <w:szCs w:val="21"/>
              </w:rPr>
            </w:pPr>
          </w:p>
          <w:p w14:paraId="174EC27F" w14:textId="77777777" w:rsidR="007461DA" w:rsidRDefault="001D0536">
            <w:pPr>
              <w:pStyle w:val="Standard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Discuter la régiosélectivité de la réaction d’hémiacétalisation du glucose.</w:t>
            </w:r>
          </w:p>
          <w:p w14:paraId="43884AD1" w14:textId="77777777" w:rsidR="007461DA" w:rsidRDefault="001D0536">
            <w:pPr>
              <w:pStyle w:val="Standard"/>
              <w:snapToGrid w:val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Interpréter la mutarotation du glucose par le caractère renversable de l’hémiacétalisation.</w:t>
            </w:r>
          </w:p>
        </w:tc>
      </w:tr>
      <w:tr w:rsidR="007461DA" w14:paraId="1E08544D" w14:textId="77777777">
        <w:tc>
          <w:tcPr>
            <w:tcW w:w="5536" w:type="dxa"/>
            <w:tcBorders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559D33" w14:textId="77777777" w:rsidR="007461DA" w:rsidRDefault="001D0536">
            <w:pPr>
              <w:pStyle w:val="Standard"/>
              <w:snapToGrid w:val="0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Protection de groupe caractéristique</w:t>
            </w:r>
          </w:p>
        </w:tc>
        <w:tc>
          <w:tcPr>
            <w:tcW w:w="52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7C990D" w14:textId="77777777" w:rsidR="007461DA" w:rsidRDefault="007461DA">
            <w:pPr>
              <w:pStyle w:val="Listecouleur-Accent12"/>
              <w:snapToGrid w:val="0"/>
              <w:spacing w:after="0"/>
              <w:ind w:left="137"/>
              <w:rPr>
                <w:color w:val="000000"/>
                <w:sz w:val="21"/>
                <w:szCs w:val="21"/>
                <w:lang w:val="fr-FR"/>
              </w:rPr>
            </w:pPr>
          </w:p>
        </w:tc>
      </w:tr>
      <w:tr w:rsidR="007461DA" w14:paraId="3CC15ABF" w14:textId="77777777" w:rsidTr="00380445">
        <w:tc>
          <w:tcPr>
            <w:tcW w:w="5536" w:type="dxa"/>
            <w:tcBorders>
              <w:lef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6D9E0" w14:textId="337201E8" w:rsidR="007461DA" w:rsidRDefault="001D0536">
            <w:pPr>
              <w:pStyle w:val="Standard"/>
              <w:snapToGrid w:val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Protection</w:t>
            </w:r>
            <w:r w:rsidR="00C7241B">
              <w:rPr>
                <w:color w:val="000000"/>
                <w:sz w:val="21"/>
                <w:szCs w:val="21"/>
              </w:rPr>
              <w:t>-</w:t>
            </w:r>
            <w:proofErr w:type="spellStart"/>
            <w:r>
              <w:rPr>
                <w:color w:val="000000"/>
                <w:sz w:val="21"/>
                <w:szCs w:val="21"/>
              </w:rPr>
              <w:t>déprotection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du groupe carbonyle </w:t>
            </w:r>
            <w:r w:rsidR="00C7241B">
              <w:rPr>
                <w:color w:val="000000"/>
                <w:sz w:val="21"/>
                <w:szCs w:val="21"/>
              </w:rPr>
              <w:t xml:space="preserve">des aldéhydes et des cétones </w:t>
            </w:r>
            <w:r>
              <w:rPr>
                <w:color w:val="000000"/>
                <w:sz w:val="21"/>
                <w:szCs w:val="21"/>
              </w:rPr>
              <w:t>par un diol (conditions expérimentales, mécanisme de l’hydrolyse acide).</w:t>
            </w:r>
          </w:p>
          <w:p w14:paraId="76314049" w14:textId="77777777" w:rsidR="007461DA" w:rsidRDefault="007461DA">
            <w:pPr>
              <w:pStyle w:val="Standard"/>
              <w:snapToGrid w:val="0"/>
              <w:rPr>
                <w:color w:val="000000"/>
                <w:sz w:val="21"/>
                <w:szCs w:val="21"/>
              </w:rPr>
            </w:pPr>
          </w:p>
          <w:p w14:paraId="5A7C2F86" w14:textId="6B8BF4D3" w:rsidR="007461DA" w:rsidRDefault="001D0536">
            <w:pPr>
              <w:pStyle w:val="Standard"/>
              <w:snapToGrid w:val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Protection/</w:t>
            </w:r>
            <w:proofErr w:type="spellStart"/>
            <w:r>
              <w:rPr>
                <w:color w:val="000000"/>
                <w:sz w:val="21"/>
                <w:szCs w:val="21"/>
              </w:rPr>
              <w:t>déprotection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du groupe hydroxyle par formation d’un </w:t>
            </w:r>
            <w:proofErr w:type="spellStart"/>
            <w:r>
              <w:rPr>
                <w:color w:val="000000"/>
                <w:sz w:val="21"/>
                <w:szCs w:val="21"/>
              </w:rPr>
              <w:t>étheroxyde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gramStart"/>
            <w:r w:rsidR="00380445">
              <w:rPr>
                <w:color w:val="000000"/>
                <w:sz w:val="21"/>
                <w:szCs w:val="21"/>
              </w:rPr>
              <w:t>alkylé</w:t>
            </w:r>
            <w:r w:rsidR="00C7241B">
              <w:rPr>
                <w:color w:val="000000"/>
                <w:sz w:val="21"/>
                <w:szCs w:val="21"/>
              </w:rPr>
              <w:t>(</w:t>
            </w:r>
            <w:proofErr w:type="gramEnd"/>
            <w:r w:rsidR="00C7241B">
              <w:rPr>
                <w:color w:val="000000"/>
                <w:sz w:val="21"/>
                <w:szCs w:val="21"/>
              </w:rPr>
              <w:t xml:space="preserve">-OR ; </w:t>
            </w:r>
            <w:proofErr w:type="spellStart"/>
            <w:r w:rsidR="00C7241B">
              <w:rPr>
                <w:color w:val="000000"/>
                <w:sz w:val="21"/>
                <w:szCs w:val="21"/>
              </w:rPr>
              <w:t>OBn</w:t>
            </w:r>
            <w:proofErr w:type="spellEnd"/>
            <w:r w:rsidR="00C7241B">
              <w:rPr>
                <w:color w:val="000000"/>
                <w:sz w:val="21"/>
                <w:szCs w:val="21"/>
              </w:rPr>
              <w:t xml:space="preserve">), d’un éther </w:t>
            </w:r>
            <w:proofErr w:type="spellStart"/>
            <w:r w:rsidR="00C7241B">
              <w:rPr>
                <w:color w:val="000000"/>
                <w:sz w:val="21"/>
                <w:szCs w:val="21"/>
              </w:rPr>
              <w:t>silylé</w:t>
            </w:r>
            <w:proofErr w:type="spellEnd"/>
            <w:r w:rsidR="00C7241B">
              <w:rPr>
                <w:color w:val="000000"/>
                <w:sz w:val="21"/>
                <w:szCs w:val="21"/>
              </w:rPr>
              <w:t xml:space="preserve"> (-OTBDMS, -OTMS</w:t>
            </w:r>
            <w:r w:rsidR="00380445">
              <w:rPr>
                <w:color w:val="000000"/>
                <w:sz w:val="21"/>
                <w:szCs w:val="21"/>
              </w:rPr>
              <w:t>, -OTBS, -OTBDPS</w:t>
            </w:r>
            <w:r w:rsidR="00C7241B">
              <w:rPr>
                <w:color w:val="000000"/>
                <w:sz w:val="21"/>
                <w:szCs w:val="21"/>
              </w:rPr>
              <w:t>)</w:t>
            </w:r>
            <w:r w:rsidR="002233AF">
              <w:rPr>
                <w:color w:val="000000"/>
                <w:sz w:val="21"/>
                <w:szCs w:val="21"/>
              </w:rPr>
              <w:t xml:space="preserve"> ou d’un </w:t>
            </w:r>
            <w:r w:rsidR="00380445">
              <w:rPr>
                <w:color w:val="000000"/>
                <w:sz w:val="21"/>
                <w:szCs w:val="21"/>
              </w:rPr>
              <w:t>acétal (-OTHP)</w:t>
            </w:r>
          </w:p>
          <w:p w14:paraId="6937FD05" w14:textId="77777777" w:rsidR="007461DA" w:rsidRDefault="007461DA">
            <w:pPr>
              <w:pStyle w:val="Standard"/>
              <w:snapToGrid w:val="0"/>
              <w:rPr>
                <w:color w:val="000000"/>
                <w:sz w:val="21"/>
                <w:szCs w:val="21"/>
              </w:rPr>
            </w:pPr>
          </w:p>
          <w:p w14:paraId="23F2A4C0" w14:textId="77777777" w:rsidR="007461DA" w:rsidRDefault="007461DA">
            <w:pPr>
              <w:pStyle w:val="Listecouleur-Accent12"/>
              <w:snapToGrid w:val="0"/>
              <w:spacing w:after="0"/>
              <w:rPr>
                <w:color w:val="000000"/>
                <w:sz w:val="21"/>
                <w:szCs w:val="21"/>
                <w:lang w:val="fr-FR"/>
              </w:rPr>
            </w:pPr>
          </w:p>
        </w:tc>
        <w:tc>
          <w:tcPr>
            <w:tcW w:w="5209" w:type="dxa"/>
            <w:tcBorders>
              <w:left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A71DDC" w14:textId="56DFAA34" w:rsidR="007461DA" w:rsidRDefault="001D0536">
            <w:pPr>
              <w:pStyle w:val="Listecouleur-Accent12"/>
              <w:snapToGrid w:val="0"/>
              <w:spacing w:after="0"/>
              <w:rPr>
                <w:color w:val="000000"/>
                <w:sz w:val="21"/>
                <w:szCs w:val="21"/>
                <w:lang w:val="fr-FR"/>
              </w:rPr>
            </w:pPr>
            <w:r>
              <w:rPr>
                <w:color w:val="000000"/>
                <w:sz w:val="21"/>
                <w:szCs w:val="21"/>
                <w:lang w:val="fr-FR"/>
              </w:rPr>
              <w:t>Justifier la nécessité de protéger un groupe caractéristique dans une synthèse multi-étapes.</w:t>
            </w:r>
          </w:p>
          <w:p w14:paraId="5D9166A7" w14:textId="77777777" w:rsidR="00C7241B" w:rsidRDefault="00C7241B">
            <w:pPr>
              <w:pStyle w:val="Listecouleur-Accent12"/>
              <w:snapToGrid w:val="0"/>
              <w:spacing w:after="0"/>
              <w:rPr>
                <w:color w:val="000000"/>
                <w:sz w:val="21"/>
                <w:szCs w:val="21"/>
                <w:lang w:val="fr-FR"/>
              </w:rPr>
            </w:pPr>
          </w:p>
          <w:p w14:paraId="5D1056D2" w14:textId="77777777" w:rsidR="007461DA" w:rsidRDefault="001D0536">
            <w:pPr>
              <w:pStyle w:val="Listecouleur-Accent12"/>
              <w:snapToGrid w:val="0"/>
              <w:spacing w:after="0"/>
              <w:ind w:left="34"/>
              <w:rPr>
                <w:color w:val="000000"/>
                <w:sz w:val="21"/>
                <w:szCs w:val="21"/>
                <w:lang w:val="fr-FR"/>
              </w:rPr>
            </w:pPr>
            <w:r>
              <w:rPr>
                <w:color w:val="000000"/>
                <w:sz w:val="21"/>
                <w:szCs w:val="21"/>
                <w:lang w:val="fr-FR"/>
              </w:rPr>
              <w:t xml:space="preserve">Identifier les étapes de protection et de </w:t>
            </w:r>
            <w:proofErr w:type="spellStart"/>
            <w:r>
              <w:rPr>
                <w:color w:val="000000"/>
                <w:sz w:val="21"/>
                <w:szCs w:val="21"/>
                <w:lang w:val="fr-FR"/>
              </w:rPr>
              <w:t>déprotection</w:t>
            </w:r>
            <w:proofErr w:type="spellEnd"/>
            <w:r>
              <w:rPr>
                <w:color w:val="000000"/>
                <w:sz w:val="21"/>
                <w:szCs w:val="21"/>
                <w:lang w:val="fr-FR"/>
              </w:rPr>
              <w:t xml:space="preserve"> d’un groupe carbonyle, d’un groupe hydroxyle, d’un diol 1,2 ou 1,3 dans </w:t>
            </w:r>
            <w:proofErr w:type="gramStart"/>
            <w:r>
              <w:rPr>
                <w:color w:val="000000"/>
                <w:sz w:val="21"/>
                <w:szCs w:val="21"/>
                <w:lang w:val="fr-FR"/>
              </w:rPr>
              <w:t>une synthèse multi-étapes</w:t>
            </w:r>
            <w:proofErr w:type="gramEnd"/>
            <w:r>
              <w:rPr>
                <w:color w:val="000000"/>
                <w:sz w:val="21"/>
                <w:szCs w:val="21"/>
                <w:lang w:val="fr-FR"/>
              </w:rPr>
              <w:t>.</w:t>
            </w:r>
          </w:p>
          <w:p w14:paraId="6D179523" w14:textId="2A0F24B3" w:rsidR="00C7241B" w:rsidRDefault="00380445">
            <w:pPr>
              <w:pStyle w:val="Listecouleur-Accent12"/>
              <w:snapToGrid w:val="0"/>
              <w:spacing w:after="0"/>
              <w:ind w:left="34"/>
              <w:rPr>
                <w:color w:val="000000"/>
                <w:sz w:val="21"/>
                <w:szCs w:val="21"/>
                <w:lang w:val="fr-FR"/>
              </w:rPr>
            </w:pPr>
            <w:r>
              <w:rPr>
                <w:color w:val="000000"/>
                <w:sz w:val="21"/>
                <w:szCs w:val="21"/>
                <w:lang w:val="fr-FR"/>
              </w:rPr>
              <w:t>Proposer ou justifier à partir d’une banque de réactions fournie</w:t>
            </w:r>
            <w:r w:rsidR="0070461A">
              <w:rPr>
                <w:color w:val="000000"/>
                <w:sz w:val="21"/>
                <w:szCs w:val="21"/>
                <w:lang w:val="fr-FR"/>
              </w:rPr>
              <w:t xml:space="preserve">, une méthode adaptée de protection du groupe hydroxyle. Analyser </w:t>
            </w:r>
            <w:proofErr w:type="gramStart"/>
            <w:r w:rsidR="0070461A">
              <w:rPr>
                <w:color w:val="000000"/>
                <w:sz w:val="21"/>
                <w:szCs w:val="21"/>
                <w:lang w:val="fr-FR"/>
              </w:rPr>
              <w:t>une synthèse multi-étapes</w:t>
            </w:r>
            <w:proofErr w:type="gramEnd"/>
            <w:r w:rsidR="0070461A">
              <w:rPr>
                <w:color w:val="000000"/>
                <w:sz w:val="21"/>
                <w:szCs w:val="21"/>
                <w:lang w:val="fr-FR"/>
              </w:rPr>
              <w:t xml:space="preserve"> en termes de stratégie de synthèse : ordre des étapes, protection de groupes caractéristiques.</w:t>
            </w:r>
          </w:p>
        </w:tc>
      </w:tr>
      <w:tr w:rsidR="00380445" w14:paraId="26DADE3E" w14:textId="77777777" w:rsidTr="00380445">
        <w:tc>
          <w:tcPr>
            <w:tcW w:w="5536" w:type="dxa"/>
            <w:tcBorders>
              <w:lef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8BCF5B" w14:textId="00AB710D" w:rsidR="00380445" w:rsidRPr="00380445" w:rsidRDefault="00380445">
            <w:pPr>
              <w:pStyle w:val="Standard"/>
              <w:snapToGrid w:val="0"/>
              <w:rPr>
                <w:b/>
                <w:bCs/>
                <w:color w:val="000000"/>
                <w:sz w:val="21"/>
                <w:szCs w:val="21"/>
              </w:rPr>
            </w:pPr>
            <w:r w:rsidRPr="00380445">
              <w:rPr>
                <w:b/>
                <w:bCs/>
                <w:color w:val="000000"/>
                <w:sz w:val="21"/>
                <w:szCs w:val="21"/>
              </w:rPr>
              <w:t xml:space="preserve">Approche élémentaire de l’analyse </w:t>
            </w:r>
            <w:proofErr w:type="spellStart"/>
            <w:r w:rsidRPr="00380445">
              <w:rPr>
                <w:b/>
                <w:bCs/>
                <w:color w:val="000000"/>
                <w:sz w:val="21"/>
                <w:szCs w:val="21"/>
              </w:rPr>
              <w:t>rétrosynthétique</w:t>
            </w:r>
            <w:proofErr w:type="spellEnd"/>
          </w:p>
        </w:tc>
        <w:tc>
          <w:tcPr>
            <w:tcW w:w="5209" w:type="dxa"/>
            <w:tcBorders>
              <w:left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E9C30" w14:textId="77777777" w:rsidR="00380445" w:rsidRDefault="00380445">
            <w:pPr>
              <w:pStyle w:val="Listecouleur-Accent12"/>
              <w:snapToGrid w:val="0"/>
              <w:spacing w:after="0"/>
              <w:rPr>
                <w:color w:val="000000"/>
                <w:sz w:val="21"/>
                <w:szCs w:val="21"/>
                <w:lang w:val="fr-FR"/>
              </w:rPr>
            </w:pPr>
          </w:p>
        </w:tc>
      </w:tr>
      <w:tr w:rsidR="00380445" w14:paraId="6C3BC561" w14:textId="77777777">
        <w:tc>
          <w:tcPr>
            <w:tcW w:w="5536" w:type="dxa"/>
            <w:tcBorders>
              <w:left w:val="single" w:sz="2" w:space="0" w:color="000000"/>
              <w:bottom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D9E228" w14:textId="334C618F" w:rsidR="00380445" w:rsidRPr="00380445" w:rsidRDefault="00380445">
            <w:pPr>
              <w:pStyle w:val="Standard"/>
              <w:snapToGrid w:val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Schéma </w:t>
            </w:r>
            <w:proofErr w:type="spellStart"/>
            <w:r>
              <w:rPr>
                <w:color w:val="000000"/>
                <w:sz w:val="21"/>
                <w:szCs w:val="21"/>
              </w:rPr>
              <w:t>rétrosynthétique</w:t>
            </w:r>
            <w:proofErr w:type="spellEnd"/>
          </w:p>
        </w:tc>
        <w:tc>
          <w:tcPr>
            <w:tcW w:w="52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EB22AD" w14:textId="77777777" w:rsidR="00380445" w:rsidRDefault="0070461A">
            <w:pPr>
              <w:pStyle w:val="Listecouleur-Accent12"/>
              <w:snapToGrid w:val="0"/>
              <w:spacing w:after="0"/>
              <w:rPr>
                <w:color w:val="000000"/>
                <w:sz w:val="21"/>
                <w:szCs w:val="21"/>
                <w:lang w:val="fr-FR"/>
              </w:rPr>
            </w:pPr>
            <w:r>
              <w:rPr>
                <w:color w:val="000000"/>
                <w:sz w:val="21"/>
                <w:szCs w:val="21"/>
                <w:lang w:val="fr-FR"/>
              </w:rPr>
              <w:t xml:space="preserve">Proposer, à partir d’un schéma </w:t>
            </w:r>
            <w:proofErr w:type="spellStart"/>
            <w:r>
              <w:rPr>
                <w:color w:val="000000"/>
                <w:sz w:val="21"/>
                <w:szCs w:val="21"/>
                <w:lang w:val="fr-FR"/>
              </w:rPr>
              <w:t>rétrosynthétique</w:t>
            </w:r>
            <w:proofErr w:type="spellEnd"/>
            <w:r>
              <w:rPr>
                <w:color w:val="000000"/>
                <w:sz w:val="21"/>
                <w:szCs w:val="21"/>
                <w:lang w:val="fr-FR"/>
              </w:rPr>
              <w:t xml:space="preserve"> simple donné, une voie de synthèse d’une espèce cible.</w:t>
            </w:r>
          </w:p>
          <w:p w14:paraId="64EED6A2" w14:textId="77777777" w:rsidR="0070461A" w:rsidRDefault="0070461A">
            <w:pPr>
              <w:pStyle w:val="Listecouleur-Accent12"/>
              <w:snapToGrid w:val="0"/>
              <w:spacing w:after="0"/>
              <w:rPr>
                <w:color w:val="000000"/>
                <w:sz w:val="21"/>
                <w:szCs w:val="21"/>
                <w:lang w:val="fr-FR"/>
              </w:rPr>
            </w:pPr>
            <w:r>
              <w:rPr>
                <w:color w:val="000000"/>
                <w:sz w:val="21"/>
                <w:szCs w:val="21"/>
                <w:lang w:val="fr-FR"/>
              </w:rPr>
              <w:t xml:space="preserve">Concevoir une stratégie de synthèse pour une molécule simple. </w:t>
            </w:r>
          </w:p>
          <w:p w14:paraId="11C5CC50" w14:textId="438BE79D" w:rsidR="0070461A" w:rsidRDefault="0070461A">
            <w:pPr>
              <w:pStyle w:val="Listecouleur-Accent12"/>
              <w:snapToGrid w:val="0"/>
              <w:spacing w:after="0"/>
              <w:rPr>
                <w:color w:val="000000"/>
                <w:sz w:val="21"/>
                <w:szCs w:val="21"/>
                <w:lang w:val="fr-FR"/>
              </w:rPr>
            </w:pPr>
            <w:r>
              <w:rPr>
                <w:color w:val="000000"/>
                <w:sz w:val="21"/>
                <w:szCs w:val="21"/>
                <w:lang w:val="fr-FR"/>
              </w:rPr>
              <w:t>Choisir une stratégie de synthèse minimisant les impacts environnementaux</w:t>
            </w:r>
          </w:p>
        </w:tc>
      </w:tr>
    </w:tbl>
    <w:p w14:paraId="60C3351D" w14:textId="77777777" w:rsidR="007461DA" w:rsidRDefault="007461DA">
      <w:pPr>
        <w:pStyle w:val="Standard"/>
        <w:jc w:val="center"/>
        <w:rPr>
          <w:rFonts w:ascii="Calibri" w:hAnsi="Calibri"/>
          <w:b/>
          <w:bCs/>
          <w:i/>
          <w:iCs/>
        </w:rPr>
      </w:pPr>
    </w:p>
    <w:p w14:paraId="3BD990AC" w14:textId="77777777" w:rsidR="007461DA" w:rsidRDefault="001D0536">
      <w:pPr>
        <w:pStyle w:val="Textbody"/>
        <w:jc w:val="both"/>
        <w:rPr>
          <w:rFonts w:ascii="Calibri" w:hAnsi="Calibri"/>
          <w:b/>
          <w:bCs/>
          <w:sz w:val="24"/>
        </w:rPr>
      </w:pPr>
      <w:r>
        <w:rPr>
          <w:rFonts w:ascii="Calibri" w:hAnsi="Calibri"/>
          <w:b/>
          <w:bCs/>
          <w:sz w:val="24"/>
          <w:u w:val="single"/>
        </w:rPr>
        <w:t>Exercice 1 </w:t>
      </w:r>
      <w:r>
        <w:rPr>
          <w:rFonts w:ascii="Calibri" w:hAnsi="Calibri"/>
          <w:b/>
          <w:bCs/>
          <w:sz w:val="24"/>
        </w:rPr>
        <w:t>: Pour commencer</w:t>
      </w:r>
    </w:p>
    <w:p w14:paraId="248FE8FC" w14:textId="77777777" w:rsidR="007461DA" w:rsidRDefault="001D0536">
      <w:pPr>
        <w:pStyle w:val="Standard"/>
        <w:numPr>
          <w:ilvl w:val="0"/>
          <w:numId w:val="16"/>
        </w:numPr>
        <w:rPr>
          <w:rFonts w:ascii="Calibri" w:hAnsi="Calibri"/>
        </w:rPr>
      </w:pPr>
      <w:r>
        <w:rPr>
          <w:rFonts w:ascii="Calibri" w:hAnsi="Calibri"/>
        </w:rPr>
        <w:t xml:space="preserve">Retrouver </w:t>
      </w:r>
      <w:proofErr w:type="gramStart"/>
      <w:r>
        <w:rPr>
          <w:rFonts w:ascii="Calibri" w:hAnsi="Calibri"/>
        </w:rPr>
        <w:t>les  composés</w:t>
      </w:r>
      <w:proofErr w:type="gramEnd"/>
      <w:r>
        <w:rPr>
          <w:rFonts w:ascii="Calibri" w:hAnsi="Calibri"/>
        </w:rPr>
        <w:t xml:space="preserve"> qui ont servi à la synthèse des acétals ci-après :</w:t>
      </w:r>
    </w:p>
    <w:p w14:paraId="3FE9BE80" w14:textId="77777777" w:rsidR="007461DA" w:rsidRDefault="001D0536">
      <w:pPr>
        <w:pStyle w:val="Standard"/>
        <w:jc w:val="center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7EA8FFF1" wp14:editId="346FB451">
                <wp:simplePos x="0" y="0"/>
                <wp:positionH relativeFrom="column">
                  <wp:posOffset>3798000</wp:posOffset>
                </wp:positionH>
                <wp:positionV relativeFrom="paragraph">
                  <wp:posOffset>756360</wp:posOffset>
                </wp:positionV>
                <wp:extent cx="194760" cy="171720"/>
                <wp:effectExtent l="0" t="0" r="14790" b="1878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60" cy="17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2CCC4F" w14:textId="77777777" w:rsidR="007461DA" w:rsidRDefault="001D0536"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(c)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A8FFF1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299.05pt;margin-top:59.55pt;width:15.35pt;height:13.5pt;z-index: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" filled="f" stroked="f">
                <v:textbox inset="0,0,0,0">
                  <w:txbxContent>
                    <w:p w14:paraId="0D2CCC4F" w14:textId="77777777" w:rsidR="007461DA" w:rsidRDefault="001D0536"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3C655354" wp14:editId="163A976F">
                <wp:simplePos x="0" y="0"/>
                <wp:positionH relativeFrom="column">
                  <wp:posOffset>3016080</wp:posOffset>
                </wp:positionH>
                <wp:positionV relativeFrom="paragraph">
                  <wp:posOffset>756360</wp:posOffset>
                </wp:positionV>
                <wp:extent cx="194760" cy="171720"/>
                <wp:effectExtent l="0" t="0" r="14790" b="1878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60" cy="17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60FA11" w14:textId="77777777" w:rsidR="007461DA" w:rsidRDefault="001D0536"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(b)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55354" id="Zone de texte 2" o:spid="_x0000_s1027" type="#_x0000_t202" style="position:absolute;left:0;text-align:left;margin-left:237.5pt;margin-top:59.55pt;width:15.35pt;height:13.5pt;z-index: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" filled="f" stroked="f">
                <v:textbox inset="0,0,0,0">
                  <w:txbxContent>
                    <w:p w14:paraId="3960FA11" w14:textId="77777777" w:rsidR="007461DA" w:rsidRDefault="001D0536"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60D02F99" wp14:editId="2DBEFC37">
                <wp:simplePos x="0" y="0"/>
                <wp:positionH relativeFrom="column">
                  <wp:posOffset>2375640</wp:posOffset>
                </wp:positionH>
                <wp:positionV relativeFrom="paragraph">
                  <wp:posOffset>748080</wp:posOffset>
                </wp:positionV>
                <wp:extent cx="194760" cy="171720"/>
                <wp:effectExtent l="0" t="0" r="14790" b="1878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60" cy="17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37BAD9" w14:textId="77777777" w:rsidR="007461DA" w:rsidRDefault="001D0536"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(a)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02F99" id="Zone de texte 3" o:spid="_x0000_s1028" type="#_x0000_t202" style="position:absolute;left:0;text-align:left;margin-left:187.05pt;margin-top:58.9pt;width:15.35pt;height:13.5pt;z-index: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" filled="f" stroked="f">
                <v:textbox inset="0,0,0,0">
                  <w:txbxContent>
                    <w:p w14:paraId="6537BAD9" w14:textId="77777777" w:rsidR="007461DA" w:rsidRDefault="001D0536"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</w:rPr>
        <w:object w:dxaOrig="2956" w:dyaOrig="1388" w14:anchorId="12DE98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t6" o:spid="_x0000_i1025" type="#_x0000_t75" style="width:147.75pt;height:69.75pt;visibility:visible;mso-wrap-style:square" o:ole="">
            <v:imagedata r:id="rId7" o:title=""/>
          </v:shape>
          <o:OLEObject Type="Embed" ProgID="Unknown" ShapeID="Objet6" DrawAspect="Content" ObjectID="_1742755375" r:id="rId8"/>
        </w:object>
      </w:r>
    </w:p>
    <w:p w14:paraId="053DFBC3" w14:textId="77777777" w:rsidR="007461DA" w:rsidRDefault="007461DA">
      <w:pPr>
        <w:pStyle w:val="Standard"/>
        <w:jc w:val="center"/>
        <w:rPr>
          <w:rFonts w:ascii="Calibri" w:hAnsi="Calibri"/>
        </w:rPr>
      </w:pPr>
    </w:p>
    <w:p w14:paraId="35F0115A" w14:textId="77777777" w:rsidR="007461DA" w:rsidRDefault="001D0536">
      <w:pPr>
        <w:pStyle w:val="Standard"/>
        <w:numPr>
          <w:ilvl w:val="0"/>
          <w:numId w:val="8"/>
        </w:numPr>
        <w:rPr>
          <w:rFonts w:ascii="Calibri" w:hAnsi="Calibri"/>
        </w:rPr>
      </w:pPr>
      <w:r>
        <w:rPr>
          <w:rFonts w:ascii="Calibri" w:hAnsi="Calibri"/>
        </w:rPr>
        <w:t xml:space="preserve">Donner le </w:t>
      </w:r>
      <w:proofErr w:type="gramStart"/>
      <w:r>
        <w:rPr>
          <w:rFonts w:ascii="Calibri" w:hAnsi="Calibri"/>
        </w:rPr>
        <w:t>mécanisme  de</w:t>
      </w:r>
      <w:proofErr w:type="gramEnd"/>
      <w:r>
        <w:rPr>
          <w:rFonts w:ascii="Calibri" w:hAnsi="Calibri"/>
        </w:rPr>
        <w:t xml:space="preserve"> la formation de l'acétal (c) à partir des réactifs déterminés à la question 1.</w:t>
      </w:r>
    </w:p>
    <w:p w14:paraId="55D6754C" w14:textId="77777777" w:rsidR="007461DA" w:rsidRDefault="007461DA">
      <w:pPr>
        <w:pStyle w:val="Standard"/>
        <w:jc w:val="center"/>
      </w:pPr>
    </w:p>
    <w:p w14:paraId="1F5EC904" w14:textId="77777777" w:rsidR="007461DA" w:rsidRDefault="001D0536">
      <w:pPr>
        <w:pStyle w:val="Titre1"/>
        <w:rPr>
          <w:rFonts w:ascii="Calibri" w:hAnsi="Calibri"/>
        </w:rPr>
      </w:pPr>
      <w:r>
        <w:rPr>
          <w:rFonts w:ascii="Calibri" w:hAnsi="Calibri"/>
        </w:rPr>
        <w:t>Exercice 2 </w:t>
      </w:r>
      <w:r>
        <w:rPr>
          <w:rFonts w:ascii="Calibri" w:hAnsi="Calibri"/>
          <w:u w:val="none"/>
        </w:rPr>
        <w:t xml:space="preserve">: </w:t>
      </w:r>
      <w:proofErr w:type="gramStart"/>
      <w:r>
        <w:rPr>
          <w:rFonts w:ascii="Calibri" w:hAnsi="Calibri"/>
          <w:u w:val="none"/>
        </w:rPr>
        <w:t>Synthèse  de</w:t>
      </w:r>
      <w:proofErr w:type="gramEnd"/>
      <w:r>
        <w:rPr>
          <w:rFonts w:ascii="Calibri" w:hAnsi="Calibri"/>
          <w:u w:val="none"/>
        </w:rPr>
        <w:t xml:space="preserve"> l’adrénaline</w:t>
      </w:r>
    </w:p>
    <w:tbl>
      <w:tblPr>
        <w:tblW w:w="10705" w:type="dxa"/>
        <w:tblInd w:w="3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55"/>
        <w:gridCol w:w="1950"/>
      </w:tblGrid>
      <w:tr w:rsidR="007461DA" w14:paraId="2E18071C" w14:textId="77777777">
        <w:tc>
          <w:tcPr>
            <w:tcW w:w="875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26138" w14:textId="77777777" w:rsidR="007461DA" w:rsidRDefault="001D0536">
            <w:pPr>
              <w:pStyle w:val="Standard"/>
              <w:numPr>
                <w:ilvl w:val="0"/>
                <w:numId w:val="17"/>
              </w:numPr>
              <w:snapToGrid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Donner la formule de B, C, D, E, F, G et de l’adrénaline.</w:t>
            </w:r>
          </w:p>
          <w:p w14:paraId="7D684EBF" w14:textId="77777777" w:rsidR="007461DA" w:rsidRDefault="001D0536">
            <w:pPr>
              <w:pStyle w:val="Standard"/>
              <w:numPr>
                <w:ilvl w:val="0"/>
                <w:numId w:val="10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Préciser les étapes de protection/</w:t>
            </w:r>
            <w:proofErr w:type="spellStart"/>
            <w:r>
              <w:rPr>
                <w:rFonts w:ascii="Calibri" w:hAnsi="Calibri"/>
              </w:rPr>
              <w:t>déprotection</w:t>
            </w:r>
            <w:proofErr w:type="spellEnd"/>
            <w:r>
              <w:rPr>
                <w:rFonts w:ascii="Calibri" w:hAnsi="Calibri"/>
              </w:rPr>
              <w:t xml:space="preserve"> et leur intérêt.</w:t>
            </w:r>
          </w:p>
          <w:p w14:paraId="25A1F870" w14:textId="77777777" w:rsidR="007461DA" w:rsidRDefault="001D0536">
            <w:pPr>
              <w:pStyle w:val="Standard"/>
              <w:numPr>
                <w:ilvl w:val="0"/>
                <w:numId w:val="10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Préciser l’étape d’activation et justifier son intérêt.</w:t>
            </w:r>
          </w:p>
          <w:p w14:paraId="51C4AEB0" w14:textId="77777777" w:rsidR="007461DA" w:rsidRDefault="001D0536">
            <w:pPr>
              <w:pStyle w:val="Standard"/>
              <w:jc w:val="center"/>
            </w:pPr>
            <w:r>
              <w:rPr>
                <w:noProof/>
              </w:rPr>
              <w:drawing>
                <wp:inline distT="0" distB="0" distL="0" distR="0" wp14:anchorId="0090545D" wp14:editId="3C012B28">
                  <wp:extent cx="4441320" cy="1197000"/>
                  <wp:effectExtent l="0" t="0" r="0" b="3150"/>
                  <wp:docPr id="4" name="Imag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1320" cy="11970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6E7327" w14:textId="77777777" w:rsidR="007461DA" w:rsidRDefault="001D0536">
            <w:pPr>
              <w:pStyle w:val="Standard"/>
              <w:rPr>
                <w:rFonts w:ascii="Calibri" w:hAnsi="Calibri"/>
                <w:i/>
                <w:iCs/>
              </w:rPr>
            </w:pPr>
            <w:r>
              <w:rPr>
                <w:rFonts w:ascii="Calibri" w:hAnsi="Calibri"/>
                <w:i/>
                <w:iCs/>
              </w:rPr>
              <w:t xml:space="preserve">Indication : </w:t>
            </w:r>
            <w:proofErr w:type="spellStart"/>
            <w:r>
              <w:rPr>
                <w:rFonts w:ascii="Calibri" w:hAnsi="Calibri"/>
                <w:i/>
                <w:iCs/>
              </w:rPr>
              <w:t>BnCl</w:t>
            </w:r>
            <w:proofErr w:type="spellEnd"/>
            <w:r>
              <w:rPr>
                <w:rFonts w:ascii="Calibri" w:hAnsi="Calibri"/>
                <w:i/>
                <w:iCs/>
              </w:rPr>
              <w:t xml:space="preserve"> est le chlorure de benzyle : Ph-CH</w:t>
            </w:r>
            <w:r>
              <w:rPr>
                <w:rFonts w:ascii="Calibri" w:hAnsi="Calibri"/>
                <w:i/>
                <w:iCs/>
                <w:vertAlign w:val="subscript"/>
              </w:rPr>
              <w:t>2</w:t>
            </w:r>
            <w:r>
              <w:rPr>
                <w:rFonts w:ascii="Calibri" w:hAnsi="Calibri"/>
                <w:i/>
                <w:iCs/>
              </w:rPr>
              <w:t>-Cl</w:t>
            </w:r>
          </w:p>
        </w:tc>
        <w:tc>
          <w:tcPr>
            <w:tcW w:w="19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445126" w14:textId="77777777" w:rsidR="007461DA" w:rsidRDefault="001D0536">
            <w:pPr>
              <w:pStyle w:val="Standard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13E1804A" wp14:editId="4D036542">
                  <wp:extent cx="913679" cy="1337400"/>
                  <wp:effectExtent l="0" t="0" r="721" b="0"/>
                  <wp:docPr id="5" name="Imag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679" cy="13374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E9D834" w14:textId="77777777" w:rsidR="007461DA" w:rsidRDefault="001D0536">
            <w:pPr>
              <w:pStyle w:val="Standard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</w:tr>
    </w:tbl>
    <w:p w14:paraId="1D3EE4A6" w14:textId="77777777" w:rsidR="007461DA" w:rsidRDefault="001D0536">
      <w:pPr>
        <w:pStyle w:val="Titre1"/>
        <w:rPr>
          <w:rFonts w:ascii="Calibri" w:hAnsi="Calibri"/>
        </w:rPr>
      </w:pPr>
      <w:r>
        <w:rPr>
          <w:rFonts w:ascii="Calibri" w:hAnsi="Calibri"/>
        </w:rPr>
        <w:lastRenderedPageBreak/>
        <w:t>Exercice 3 </w:t>
      </w:r>
      <w:r>
        <w:rPr>
          <w:rFonts w:ascii="Calibri" w:hAnsi="Calibri"/>
          <w:u w:val="none"/>
        </w:rPr>
        <w:t>: Synthèse de l’acide ricinoléique (E3A PC 2010)</w:t>
      </w:r>
    </w:p>
    <w:p w14:paraId="10D68801" w14:textId="77777777" w:rsidR="007461DA" w:rsidRDefault="007461DA">
      <w:pPr>
        <w:pStyle w:val="Standard"/>
        <w:jc w:val="both"/>
        <w:rPr>
          <w:rFonts w:ascii="Calibri" w:hAnsi="Calibri" w:cs="Calibri"/>
          <w:i/>
        </w:rPr>
      </w:pPr>
    </w:p>
    <w:p w14:paraId="112C3DB9" w14:textId="77777777" w:rsidR="007461DA" w:rsidRDefault="001D0536">
      <w:pPr>
        <w:pStyle w:val="Standard"/>
        <w:jc w:val="both"/>
      </w:pPr>
      <w:r>
        <w:rPr>
          <w:rFonts w:ascii="Calibri" w:hAnsi="Calibri" w:cs="Calibri"/>
          <w:i/>
        </w:rPr>
        <w:t xml:space="preserve">L’acide ricinoléique </w:t>
      </w:r>
      <w:r>
        <w:rPr>
          <w:rFonts w:ascii="Calibri" w:hAnsi="Calibri" w:cs="Calibri"/>
          <w:b/>
          <w:i/>
        </w:rPr>
        <w:t>[H]</w:t>
      </w:r>
      <w:r>
        <w:rPr>
          <w:rFonts w:ascii="Calibri" w:hAnsi="Calibri" w:cs="Calibri"/>
          <w:i/>
        </w:rPr>
        <w:t xml:space="preserve"> est un acide gras insaturé qui a des effets purgatifs. Nous allons étudier sa synthèse.</w:t>
      </w:r>
    </w:p>
    <w:p w14:paraId="69488DE3" w14:textId="76E375B5" w:rsidR="007461DA" w:rsidRDefault="008945CF">
      <w:pPr>
        <w:pStyle w:val="Standard"/>
        <w:jc w:val="center"/>
        <w:rPr>
          <w:rFonts w:ascii="Calibri" w:hAnsi="Calibri" w:cs="Calibri"/>
          <w:color w:val="000000"/>
        </w:rPr>
      </w:pPr>
      <w:r w:rsidRPr="008945CF">
        <w:rPr>
          <w:rFonts w:ascii="Calibri" w:hAnsi="Calibri" w:cs="Calibri"/>
          <w:noProof/>
          <w:color w:val="000000"/>
        </w:rPr>
        <w:drawing>
          <wp:inline distT="0" distB="0" distL="0" distR="0" wp14:anchorId="76D222EC" wp14:editId="7692C02D">
            <wp:extent cx="2819400" cy="51435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839B3" w14:textId="1FCB87B0" w:rsidR="007461DA" w:rsidRDefault="008945CF">
      <w:pPr>
        <w:pStyle w:val="Paragraphedeliste"/>
        <w:spacing w:after="0"/>
        <w:ind w:left="0"/>
        <w:jc w:val="center"/>
        <w:rPr>
          <w:rFonts w:cs="Calibri"/>
          <w:color w:val="000000"/>
          <w:sz w:val="24"/>
          <w:szCs w:val="24"/>
        </w:rPr>
      </w:pPr>
      <w:r w:rsidRPr="008945CF">
        <w:rPr>
          <w:rFonts w:cs="Calibri"/>
          <w:noProof/>
          <w:color w:val="000000"/>
          <w:sz w:val="24"/>
          <w:szCs w:val="24"/>
        </w:rPr>
        <w:drawing>
          <wp:inline distT="0" distB="0" distL="0" distR="0" wp14:anchorId="5E213471" wp14:editId="3AE5B429">
            <wp:extent cx="4933950" cy="177165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A41A5" w14:textId="77777777" w:rsidR="007461DA" w:rsidRDefault="001D0536">
      <w:pPr>
        <w:pStyle w:val="Paragraphedeliste"/>
        <w:numPr>
          <w:ilvl w:val="0"/>
          <w:numId w:val="18"/>
        </w:numPr>
        <w:spacing w:after="0"/>
        <w:jc w:val="both"/>
        <w:rPr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Quel organomagnésien permettrait-il d’obtenir </w:t>
      </w:r>
      <w:r>
        <w:rPr>
          <w:rFonts w:cs="Calibri"/>
          <w:b/>
          <w:color w:val="000000"/>
          <w:sz w:val="24"/>
          <w:szCs w:val="24"/>
        </w:rPr>
        <w:t>[B]</w:t>
      </w:r>
      <w:r>
        <w:rPr>
          <w:rFonts w:cs="Calibri"/>
          <w:color w:val="000000"/>
          <w:sz w:val="24"/>
          <w:szCs w:val="24"/>
        </w:rPr>
        <w:t xml:space="preserve"> ? Cette réaction </w:t>
      </w:r>
      <w:r>
        <w:rPr>
          <w:rFonts w:cs="Calibri"/>
          <w:b/>
          <w:color w:val="000000"/>
          <w:sz w:val="24"/>
          <w:szCs w:val="24"/>
        </w:rPr>
        <w:t>[A]</w:t>
      </w:r>
      <w:r>
        <w:rPr>
          <w:rFonts w:cs="Calibri"/>
          <w:color w:val="000000"/>
          <w:sz w:val="24"/>
          <w:szCs w:val="24"/>
        </w:rPr>
        <w:t xml:space="preserve"> </w:t>
      </w:r>
      <w:r>
        <w:rPr>
          <w:rFonts w:ascii="Symbol" w:hAnsi="Symbol"/>
          <w:color w:val="000000"/>
          <w:sz w:val="24"/>
          <w:szCs w:val="24"/>
        </w:rPr>
        <w:t></w:t>
      </w:r>
      <w:r>
        <w:rPr>
          <w:rFonts w:cs="Calibri"/>
          <w:color w:val="000000"/>
          <w:sz w:val="24"/>
          <w:szCs w:val="24"/>
        </w:rPr>
        <w:t xml:space="preserve"> </w:t>
      </w:r>
      <w:r>
        <w:rPr>
          <w:rFonts w:cs="Calibri"/>
          <w:b/>
          <w:color w:val="000000"/>
          <w:sz w:val="24"/>
          <w:szCs w:val="24"/>
        </w:rPr>
        <w:t>[B]</w:t>
      </w:r>
      <w:r>
        <w:rPr>
          <w:rFonts w:cs="Calibri"/>
          <w:color w:val="000000"/>
          <w:sz w:val="24"/>
          <w:szCs w:val="24"/>
        </w:rPr>
        <w:t xml:space="preserve"> conduit-elle à un milieu optiquement actif ? </w:t>
      </w:r>
      <w:r>
        <w:rPr>
          <w:rFonts w:cs="Calibri"/>
          <w:i/>
          <w:color w:val="000000"/>
          <w:sz w:val="24"/>
          <w:szCs w:val="24"/>
        </w:rPr>
        <w:t>(Les conditions de réaction sont telles que l’organomagnésien ne déprotone pas la fonction alcyne).</w:t>
      </w:r>
    </w:p>
    <w:p w14:paraId="55C54AEE" w14:textId="77777777" w:rsidR="007461DA" w:rsidRDefault="001D0536">
      <w:pPr>
        <w:pStyle w:val="Paragraphedeliste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Considérons la réaction de formation du composé </w:t>
      </w:r>
      <w:r>
        <w:rPr>
          <w:rFonts w:cs="Calibri"/>
          <w:b/>
          <w:color w:val="000000"/>
          <w:sz w:val="24"/>
          <w:szCs w:val="24"/>
        </w:rPr>
        <w:t>[C]</w:t>
      </w:r>
      <w:r>
        <w:rPr>
          <w:rFonts w:cs="Calibri"/>
          <w:color w:val="000000"/>
          <w:sz w:val="24"/>
          <w:szCs w:val="24"/>
        </w:rPr>
        <w:t xml:space="preserve"> </w:t>
      </w:r>
      <w:r>
        <w:rPr>
          <w:rFonts w:cs="Calibri"/>
          <w:i/>
          <w:color w:val="000000"/>
          <w:sz w:val="24"/>
          <w:szCs w:val="24"/>
        </w:rPr>
        <w:t xml:space="preserve">(donné ci-dessous) </w:t>
      </w:r>
      <w:r>
        <w:rPr>
          <w:rFonts w:cs="Calibri"/>
          <w:color w:val="000000"/>
          <w:sz w:val="24"/>
          <w:szCs w:val="24"/>
        </w:rPr>
        <w:t xml:space="preserve">à partir de [B] et du DHP. On s’intéresse au mécanisme de cette réaction </w:t>
      </w:r>
      <w:r>
        <w:rPr>
          <w:rFonts w:cs="Calibri"/>
          <w:i/>
          <w:color w:val="000000"/>
          <w:sz w:val="24"/>
          <w:szCs w:val="24"/>
        </w:rPr>
        <w:t>(qui n’est pas au programme)</w:t>
      </w:r>
      <w:r>
        <w:rPr>
          <w:rFonts w:cs="Calibri"/>
          <w:color w:val="000000"/>
          <w:sz w:val="24"/>
          <w:szCs w:val="24"/>
        </w:rPr>
        <w:t xml:space="preserve"> en milieu acide.</w:t>
      </w:r>
    </w:p>
    <w:p w14:paraId="0CD86D32" w14:textId="41FF9A1E" w:rsidR="007461DA" w:rsidRDefault="008945CF" w:rsidP="008945CF">
      <w:pPr>
        <w:pStyle w:val="Paragraphedeliste"/>
        <w:spacing w:after="0"/>
        <w:jc w:val="center"/>
        <w:rPr>
          <w:rFonts w:cs="Calibri"/>
          <w:color w:val="000000"/>
          <w:sz w:val="24"/>
          <w:szCs w:val="24"/>
        </w:rPr>
      </w:pPr>
      <w:r w:rsidRPr="008945CF">
        <w:rPr>
          <w:rFonts w:cs="Calibri"/>
          <w:noProof/>
          <w:color w:val="000000"/>
          <w:sz w:val="24"/>
          <w:szCs w:val="24"/>
        </w:rPr>
        <w:drawing>
          <wp:inline distT="0" distB="0" distL="0" distR="0" wp14:anchorId="05C859F4" wp14:editId="722F8C13">
            <wp:extent cx="3267075" cy="885825"/>
            <wp:effectExtent l="0" t="0" r="9525" b="952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41AF" w14:textId="77777777" w:rsidR="007461DA" w:rsidRDefault="001D0536">
      <w:pPr>
        <w:pStyle w:val="Paragraphedeliste"/>
        <w:numPr>
          <w:ilvl w:val="1"/>
          <w:numId w:val="5"/>
        </w:numPr>
        <w:spacing w:after="0"/>
        <w:jc w:val="both"/>
        <w:rPr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Étudier la stabilité des deux carbocations susceptibles de se former par addition électrophile d’un proton sur le DHP </w:t>
      </w:r>
      <w:r>
        <w:rPr>
          <w:rFonts w:cs="Calibri"/>
          <w:i/>
          <w:color w:val="000000"/>
          <w:sz w:val="24"/>
          <w:szCs w:val="24"/>
        </w:rPr>
        <w:t>(donné ci-dessus)</w:t>
      </w:r>
      <w:r>
        <w:rPr>
          <w:rFonts w:cs="Calibri"/>
          <w:color w:val="000000"/>
          <w:sz w:val="24"/>
          <w:szCs w:val="24"/>
        </w:rPr>
        <w:t>.</w:t>
      </w:r>
    </w:p>
    <w:p w14:paraId="7D89A3F9" w14:textId="77777777" w:rsidR="007461DA" w:rsidRDefault="001D0536">
      <w:pPr>
        <w:pStyle w:val="Paragraphedeliste"/>
        <w:numPr>
          <w:ilvl w:val="1"/>
          <w:numId w:val="5"/>
        </w:numPr>
        <w:spacing w:after="0"/>
        <w:jc w:val="both"/>
        <w:rPr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Seul le carbocation le plus stable se forme. Compléter le mécanisme de la formation de </w:t>
      </w:r>
      <w:r>
        <w:rPr>
          <w:rFonts w:cs="Calibri"/>
          <w:b/>
          <w:color w:val="000000"/>
          <w:sz w:val="24"/>
          <w:szCs w:val="24"/>
        </w:rPr>
        <w:t>[C]</w:t>
      </w:r>
      <w:r>
        <w:rPr>
          <w:rFonts w:cs="Calibri"/>
          <w:color w:val="000000"/>
          <w:sz w:val="24"/>
          <w:szCs w:val="24"/>
        </w:rPr>
        <w:t xml:space="preserve">. On notera ROH pour le substrat </w:t>
      </w:r>
      <w:r>
        <w:rPr>
          <w:rFonts w:cs="Calibri"/>
          <w:b/>
          <w:color w:val="000000"/>
          <w:sz w:val="24"/>
          <w:szCs w:val="24"/>
        </w:rPr>
        <w:t>[B]</w:t>
      </w:r>
      <w:r>
        <w:rPr>
          <w:rFonts w:cs="Calibri"/>
          <w:color w:val="000000"/>
          <w:sz w:val="24"/>
          <w:szCs w:val="24"/>
        </w:rPr>
        <w:t>.</w:t>
      </w:r>
    </w:p>
    <w:p w14:paraId="246479A6" w14:textId="77777777" w:rsidR="007461DA" w:rsidRDefault="001D0536">
      <w:pPr>
        <w:pStyle w:val="Paragraphedeliste"/>
        <w:numPr>
          <w:ilvl w:val="1"/>
          <w:numId w:val="5"/>
        </w:numPr>
        <w:spacing w:after="0"/>
        <w:jc w:val="both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Quel rôle joue le milieu acide ? Justifier.</w:t>
      </w:r>
    </w:p>
    <w:p w14:paraId="3D9BA840" w14:textId="4C5522B6" w:rsidR="007461DA" w:rsidRDefault="001D0536">
      <w:pPr>
        <w:pStyle w:val="Paragraphedeliste"/>
        <w:numPr>
          <w:ilvl w:val="0"/>
          <w:numId w:val="5"/>
        </w:numPr>
        <w:spacing w:after="0"/>
        <w:jc w:val="both"/>
        <w:rPr>
          <w:sz w:val="24"/>
          <w:szCs w:val="24"/>
        </w:rPr>
      </w:pPr>
      <w:r>
        <w:rPr>
          <w:rFonts w:cs="Calibri"/>
          <w:sz w:val="24"/>
          <w:szCs w:val="24"/>
        </w:rPr>
        <w:t xml:space="preserve">Réaction </w:t>
      </w:r>
      <w:r>
        <w:rPr>
          <w:rFonts w:cs="Calibri"/>
          <w:b/>
          <w:sz w:val="24"/>
          <w:szCs w:val="24"/>
        </w:rPr>
        <w:t>[C]</w:t>
      </w:r>
      <w:r>
        <w:rPr>
          <w:rFonts w:cs="Calibri"/>
          <w:sz w:val="24"/>
          <w:szCs w:val="24"/>
        </w:rPr>
        <w:t xml:space="preserve"> → </w:t>
      </w:r>
      <w:r>
        <w:rPr>
          <w:rFonts w:cs="Calibri"/>
          <w:b/>
          <w:sz w:val="24"/>
          <w:szCs w:val="24"/>
        </w:rPr>
        <w:t xml:space="preserve">[D]. </w:t>
      </w:r>
      <w:r>
        <w:rPr>
          <w:rFonts w:cs="Calibri"/>
          <w:sz w:val="24"/>
          <w:szCs w:val="24"/>
        </w:rPr>
        <w:t xml:space="preserve">L’hydrogène d’un alcyne est « plus acide » que celui d’un alcène ou d’un alcane et peut réagir avec l’ion amidure : </w:t>
      </w:r>
      <w:r w:rsidR="008945CF" w:rsidRPr="008945CF">
        <w:rPr>
          <w:rFonts w:cs="Calibri"/>
          <w:noProof/>
          <w:sz w:val="24"/>
          <w:szCs w:val="24"/>
        </w:rPr>
        <w:drawing>
          <wp:inline distT="0" distB="0" distL="0" distR="0" wp14:anchorId="79216D24" wp14:editId="1264F3CB">
            <wp:extent cx="2733675" cy="238125"/>
            <wp:effectExtent l="0" t="0" r="9525" b="952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27C04" w14:textId="77777777" w:rsidR="007461DA" w:rsidRDefault="001D0536">
      <w:pPr>
        <w:pStyle w:val="Paragraphedeliste"/>
        <w:numPr>
          <w:ilvl w:val="1"/>
          <w:numId w:val="5"/>
        </w:numPr>
        <w:spacing w:after="0"/>
        <w:jc w:val="both"/>
        <w:rPr>
          <w:sz w:val="24"/>
          <w:szCs w:val="24"/>
        </w:rPr>
      </w:pPr>
      <w:r>
        <w:rPr>
          <w:rFonts w:cs="Calibri"/>
          <w:sz w:val="24"/>
          <w:szCs w:val="24"/>
        </w:rPr>
        <w:t>Quel est le produit intermédiaire formé lors de l’ajout de l’amidure de sodium (Na</w:t>
      </w:r>
      <w:r>
        <w:rPr>
          <w:rFonts w:cs="Calibri"/>
          <w:sz w:val="24"/>
          <w:szCs w:val="24"/>
          <w:vertAlign w:val="superscript"/>
        </w:rPr>
        <w:t>+</w:t>
      </w:r>
      <w:r>
        <w:rPr>
          <w:rFonts w:cs="Calibri"/>
          <w:sz w:val="24"/>
          <w:szCs w:val="24"/>
        </w:rPr>
        <w:t xml:space="preserve"> NH</w:t>
      </w:r>
      <w:r>
        <w:rPr>
          <w:rFonts w:cs="Calibri"/>
          <w:sz w:val="24"/>
          <w:szCs w:val="24"/>
          <w:vertAlign w:val="subscript"/>
        </w:rPr>
        <w:t>2</w:t>
      </w:r>
      <w:r>
        <w:rPr>
          <w:rFonts w:cs="Calibri"/>
          <w:sz w:val="24"/>
          <w:szCs w:val="24"/>
          <w:vertAlign w:val="superscript"/>
        </w:rPr>
        <w:t>–</w:t>
      </w:r>
      <w:r>
        <w:rPr>
          <w:rFonts w:cs="Calibri"/>
          <w:sz w:val="24"/>
          <w:szCs w:val="24"/>
        </w:rPr>
        <w:t>) ?</w:t>
      </w:r>
    </w:p>
    <w:p w14:paraId="69AC53FB" w14:textId="77777777" w:rsidR="007461DA" w:rsidRDefault="001D0536">
      <w:pPr>
        <w:pStyle w:val="Paragraphedeliste"/>
        <w:numPr>
          <w:ilvl w:val="1"/>
          <w:numId w:val="5"/>
        </w:numPr>
        <w:spacing w:after="0"/>
        <w:jc w:val="both"/>
        <w:rPr>
          <w:sz w:val="24"/>
          <w:szCs w:val="24"/>
        </w:rPr>
      </w:pPr>
      <w:r>
        <w:rPr>
          <w:rFonts w:cs="Calibri"/>
          <w:sz w:val="24"/>
          <w:szCs w:val="24"/>
        </w:rPr>
        <w:t xml:space="preserve">Préciser la formule topologique de </w:t>
      </w:r>
      <w:r>
        <w:rPr>
          <w:rFonts w:cs="Calibri"/>
          <w:b/>
          <w:sz w:val="24"/>
          <w:szCs w:val="24"/>
        </w:rPr>
        <w:t>[D]</w:t>
      </w:r>
      <w:r>
        <w:rPr>
          <w:rFonts w:cs="Calibri"/>
          <w:sz w:val="24"/>
          <w:szCs w:val="24"/>
        </w:rPr>
        <w:t xml:space="preserve"> et proposer un mécanisme de formation.</w:t>
      </w:r>
    </w:p>
    <w:p w14:paraId="131EBCAC" w14:textId="77777777" w:rsidR="007461DA" w:rsidRDefault="001D0536">
      <w:pPr>
        <w:pStyle w:val="Paragraphedeliste"/>
        <w:numPr>
          <w:ilvl w:val="1"/>
          <w:numId w:val="5"/>
        </w:num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Justifier la sélectivité de la réaction pas rapport aux deux sites électrophiles du réactif </w:t>
      </w:r>
      <w:proofErr w:type="spellStart"/>
      <w:r>
        <w:rPr>
          <w:rFonts w:cs="Calibri"/>
          <w:sz w:val="24"/>
          <w:szCs w:val="24"/>
        </w:rPr>
        <w:t>dihalogéné</w:t>
      </w:r>
      <w:proofErr w:type="spellEnd"/>
      <w:r>
        <w:rPr>
          <w:rFonts w:cs="Calibri"/>
          <w:sz w:val="24"/>
          <w:szCs w:val="24"/>
        </w:rPr>
        <w:t>.</w:t>
      </w:r>
    </w:p>
    <w:p w14:paraId="1D38C8F6" w14:textId="77777777" w:rsidR="007461DA" w:rsidRDefault="001D0536">
      <w:pPr>
        <w:pStyle w:val="Paragraphedeliste"/>
        <w:numPr>
          <w:ilvl w:val="0"/>
          <w:numId w:val="5"/>
        </w:numPr>
        <w:spacing w:after="0"/>
        <w:jc w:val="both"/>
        <w:rPr>
          <w:sz w:val="24"/>
          <w:szCs w:val="24"/>
        </w:rPr>
      </w:pPr>
      <w:r>
        <w:rPr>
          <w:rFonts w:cs="Calibri"/>
          <w:sz w:val="24"/>
          <w:szCs w:val="24"/>
        </w:rPr>
        <w:t xml:space="preserve">Donner la formule topologique de </w:t>
      </w:r>
      <w:r>
        <w:rPr>
          <w:rFonts w:cs="Calibri"/>
          <w:b/>
          <w:sz w:val="24"/>
          <w:szCs w:val="24"/>
        </w:rPr>
        <w:t>[E]</w:t>
      </w:r>
      <w:r>
        <w:rPr>
          <w:rFonts w:cs="Calibri"/>
          <w:sz w:val="24"/>
          <w:szCs w:val="24"/>
        </w:rPr>
        <w:t xml:space="preserve"> et proposer un mécanisme de formation.</w:t>
      </w:r>
    </w:p>
    <w:p w14:paraId="26823ADE" w14:textId="77777777" w:rsidR="007461DA" w:rsidRDefault="001D0536">
      <w:pPr>
        <w:pStyle w:val="Paragraphedeliste"/>
        <w:numPr>
          <w:ilvl w:val="0"/>
          <w:numId w:val="5"/>
        </w:numPr>
        <w:spacing w:after="0"/>
        <w:jc w:val="both"/>
        <w:rPr>
          <w:sz w:val="24"/>
          <w:szCs w:val="24"/>
        </w:rPr>
      </w:pPr>
      <w:r>
        <w:rPr>
          <w:rFonts w:cs="Calibri"/>
          <w:sz w:val="24"/>
          <w:szCs w:val="24"/>
        </w:rPr>
        <w:t xml:space="preserve">Réaction </w:t>
      </w:r>
      <w:r>
        <w:rPr>
          <w:rFonts w:cs="Calibri"/>
          <w:b/>
          <w:sz w:val="24"/>
          <w:szCs w:val="24"/>
        </w:rPr>
        <w:t>[E]</w:t>
      </w:r>
      <w:r>
        <w:rPr>
          <w:rFonts w:cs="Calibri"/>
          <w:sz w:val="24"/>
          <w:szCs w:val="24"/>
        </w:rPr>
        <w:t xml:space="preserve"> → </w:t>
      </w:r>
      <w:r>
        <w:rPr>
          <w:rFonts w:cs="Calibri"/>
          <w:b/>
          <w:sz w:val="24"/>
          <w:szCs w:val="24"/>
        </w:rPr>
        <w:t>[F]</w:t>
      </w:r>
      <w:r>
        <w:rPr>
          <w:rFonts w:cs="Calibri"/>
          <w:sz w:val="24"/>
          <w:szCs w:val="24"/>
        </w:rPr>
        <w:t> :</w:t>
      </w:r>
    </w:p>
    <w:p w14:paraId="6D1924A5" w14:textId="77777777" w:rsidR="007461DA" w:rsidRDefault="001D0536">
      <w:pPr>
        <w:pStyle w:val="Paragraphedeliste"/>
        <w:numPr>
          <w:ilvl w:val="1"/>
          <w:numId w:val="5"/>
        </w:numPr>
        <w:spacing w:after="0"/>
        <w:jc w:val="both"/>
        <w:rPr>
          <w:sz w:val="24"/>
          <w:szCs w:val="24"/>
        </w:rPr>
      </w:pPr>
      <w:r>
        <w:rPr>
          <w:rFonts w:cs="Calibri"/>
          <w:sz w:val="24"/>
          <w:szCs w:val="24"/>
        </w:rPr>
        <w:t xml:space="preserve">Représenter </w:t>
      </w:r>
      <w:r>
        <w:rPr>
          <w:rFonts w:cs="Calibri"/>
          <w:b/>
          <w:sz w:val="24"/>
          <w:szCs w:val="24"/>
        </w:rPr>
        <w:t>[F]</w:t>
      </w:r>
      <w:r>
        <w:rPr>
          <w:rFonts w:cs="Calibri"/>
          <w:sz w:val="24"/>
          <w:szCs w:val="24"/>
        </w:rPr>
        <w:t xml:space="preserve"> et donner son mécanisme d’obtention.</w:t>
      </w:r>
    </w:p>
    <w:p w14:paraId="789FD183" w14:textId="77777777" w:rsidR="007461DA" w:rsidRDefault="001D0536">
      <w:pPr>
        <w:pStyle w:val="Paragraphedeliste"/>
        <w:numPr>
          <w:ilvl w:val="1"/>
          <w:numId w:val="5"/>
        </w:numPr>
        <w:spacing w:after="0"/>
        <w:jc w:val="both"/>
        <w:rPr>
          <w:sz w:val="24"/>
          <w:szCs w:val="24"/>
        </w:rPr>
      </w:pPr>
      <w:r>
        <w:rPr>
          <w:rFonts w:cs="Calibri"/>
          <w:sz w:val="24"/>
          <w:szCs w:val="24"/>
        </w:rPr>
        <w:t xml:space="preserve">Pourquoi a-t-on préalablement réalisé la réaction </w:t>
      </w:r>
      <w:r>
        <w:rPr>
          <w:rFonts w:cs="Calibri"/>
          <w:b/>
          <w:sz w:val="24"/>
          <w:szCs w:val="24"/>
        </w:rPr>
        <w:t>[D]</w:t>
      </w:r>
      <w:r>
        <w:rPr>
          <w:rFonts w:cs="Calibri"/>
          <w:sz w:val="24"/>
          <w:szCs w:val="24"/>
        </w:rPr>
        <w:t xml:space="preserve"> → </w:t>
      </w:r>
      <w:r>
        <w:rPr>
          <w:rFonts w:cs="Calibri"/>
          <w:b/>
          <w:sz w:val="24"/>
          <w:szCs w:val="24"/>
        </w:rPr>
        <w:t>[E]</w:t>
      </w:r>
      <w:r>
        <w:rPr>
          <w:rFonts w:cs="Calibri"/>
          <w:sz w:val="24"/>
          <w:szCs w:val="24"/>
        </w:rPr>
        <w:t xml:space="preserve"> au lieu de faire directement la réaction   sur le composé </w:t>
      </w:r>
      <w:r>
        <w:rPr>
          <w:rFonts w:cs="Calibri"/>
          <w:b/>
          <w:sz w:val="24"/>
          <w:szCs w:val="24"/>
        </w:rPr>
        <w:t>[D]</w:t>
      </w:r>
      <w:r>
        <w:rPr>
          <w:rFonts w:cs="Calibri"/>
          <w:sz w:val="24"/>
          <w:szCs w:val="24"/>
        </w:rPr>
        <w:t>.</w:t>
      </w:r>
    </w:p>
    <w:p w14:paraId="755529E8" w14:textId="77777777" w:rsidR="000A6231" w:rsidRPr="000A6231" w:rsidRDefault="001D0536">
      <w:pPr>
        <w:pStyle w:val="Paragraphedeliste"/>
        <w:numPr>
          <w:ilvl w:val="0"/>
          <w:numId w:val="5"/>
        </w:numPr>
        <w:spacing w:after="0"/>
        <w:jc w:val="both"/>
        <w:rPr>
          <w:sz w:val="24"/>
          <w:szCs w:val="24"/>
        </w:rPr>
      </w:pPr>
      <w:r>
        <w:rPr>
          <w:rFonts w:cs="Calibri"/>
          <w:sz w:val="24"/>
          <w:szCs w:val="24"/>
        </w:rPr>
        <w:t>La réaction entre OH</w:t>
      </w:r>
      <w:r>
        <w:rPr>
          <w:rFonts w:cs="Calibri"/>
          <w:sz w:val="24"/>
          <w:szCs w:val="24"/>
          <w:vertAlign w:val="superscript"/>
        </w:rPr>
        <w:t>–</w:t>
      </w:r>
      <w:r>
        <w:rPr>
          <w:rFonts w:cs="Calibri"/>
          <w:sz w:val="24"/>
          <w:szCs w:val="24"/>
        </w:rPr>
        <w:t xml:space="preserve"> et </w:t>
      </w:r>
      <w:r>
        <w:rPr>
          <w:rFonts w:cs="Calibri"/>
          <w:b/>
          <w:sz w:val="24"/>
          <w:szCs w:val="24"/>
        </w:rPr>
        <w:t>[F] </w:t>
      </w:r>
      <w:r>
        <w:rPr>
          <w:rFonts w:cs="Calibri"/>
          <w:sz w:val="24"/>
          <w:szCs w:val="24"/>
        </w:rPr>
        <w:t>est une réaction de saponification. Elle transforme un ester en un ion carboxylate et un alcool. Donner la formule topologique de l'ion carboxylate (C</w:t>
      </w:r>
      <w:r>
        <w:rPr>
          <w:rFonts w:cs="Calibri"/>
          <w:sz w:val="24"/>
          <w:szCs w:val="24"/>
          <w:vertAlign w:val="subscript"/>
        </w:rPr>
        <w:t>24</w:t>
      </w:r>
      <w:r>
        <w:rPr>
          <w:rFonts w:cs="Calibri"/>
          <w:sz w:val="24"/>
          <w:szCs w:val="24"/>
        </w:rPr>
        <w:t>H</w:t>
      </w:r>
      <w:r>
        <w:rPr>
          <w:rFonts w:cs="Calibri"/>
          <w:sz w:val="24"/>
          <w:szCs w:val="24"/>
          <w:vertAlign w:val="subscript"/>
        </w:rPr>
        <w:t>38</w:t>
      </w:r>
      <w:r>
        <w:rPr>
          <w:rFonts w:cs="Calibri"/>
          <w:sz w:val="24"/>
          <w:szCs w:val="24"/>
        </w:rPr>
        <w:t>O</w:t>
      </w:r>
      <w:r>
        <w:rPr>
          <w:rFonts w:cs="Calibri"/>
          <w:sz w:val="24"/>
          <w:szCs w:val="24"/>
          <w:vertAlign w:val="subscript"/>
        </w:rPr>
        <w:t>6</w:t>
      </w:r>
      <w:r>
        <w:rPr>
          <w:rFonts w:cs="Calibri"/>
          <w:sz w:val="24"/>
          <w:szCs w:val="24"/>
          <w:vertAlign w:val="superscript"/>
        </w:rPr>
        <w:t>2-</w:t>
      </w:r>
      <w:r>
        <w:rPr>
          <w:rFonts w:cs="Calibri"/>
          <w:sz w:val="24"/>
          <w:szCs w:val="24"/>
        </w:rPr>
        <w:t xml:space="preserve">). Il se produit ensuite, entre autres, une décarboxylation : </w:t>
      </w:r>
      <w:r w:rsidR="000A6231" w:rsidRPr="000A6231">
        <w:rPr>
          <w:rFonts w:cs="Calibri"/>
          <w:noProof/>
          <w:sz w:val="24"/>
          <w:szCs w:val="24"/>
        </w:rPr>
        <w:drawing>
          <wp:inline distT="0" distB="0" distL="0" distR="0" wp14:anchorId="35AB1852" wp14:editId="7FD0C093">
            <wp:extent cx="2571750" cy="466725"/>
            <wp:effectExtent l="0" t="0" r="0" b="952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sz w:val="24"/>
          <w:szCs w:val="24"/>
        </w:rPr>
        <w:t>.</w:t>
      </w:r>
    </w:p>
    <w:p w14:paraId="26358D4C" w14:textId="5466D2B3" w:rsidR="007461DA" w:rsidRPr="000A6231" w:rsidRDefault="001D0536" w:rsidP="000A6231">
      <w:pPr>
        <w:ind w:left="360"/>
        <w:jc w:val="both"/>
      </w:pPr>
      <w:r w:rsidRPr="000A6231">
        <w:rPr>
          <w:rFonts w:cs="Calibri"/>
        </w:rPr>
        <w:t xml:space="preserve">Donner la formule du produit </w:t>
      </w:r>
      <w:r w:rsidRPr="000A6231">
        <w:rPr>
          <w:rFonts w:cs="Calibri"/>
          <w:b/>
          <w:bCs/>
        </w:rPr>
        <w:t>[G]</w:t>
      </w:r>
      <w:r w:rsidRPr="000A6231">
        <w:rPr>
          <w:rFonts w:cs="Calibri"/>
        </w:rPr>
        <w:t>.</w:t>
      </w:r>
    </w:p>
    <w:p w14:paraId="6F7A5614" w14:textId="77777777" w:rsidR="007461DA" w:rsidRDefault="001D0536">
      <w:pPr>
        <w:pStyle w:val="Paragraphedeliste"/>
        <w:numPr>
          <w:ilvl w:val="0"/>
          <w:numId w:val="5"/>
        </w:numPr>
        <w:spacing w:after="0"/>
        <w:jc w:val="both"/>
        <w:rPr>
          <w:sz w:val="24"/>
          <w:szCs w:val="24"/>
        </w:rPr>
      </w:pPr>
      <w:r>
        <w:rPr>
          <w:rFonts w:cs="Calibri"/>
          <w:sz w:val="24"/>
          <w:szCs w:val="24"/>
        </w:rPr>
        <w:t xml:space="preserve">La réaction </w:t>
      </w:r>
      <w:r>
        <w:rPr>
          <w:rFonts w:cs="Calibri"/>
          <w:b/>
          <w:sz w:val="24"/>
          <w:szCs w:val="24"/>
        </w:rPr>
        <w:t>[G]</w:t>
      </w:r>
      <w:r>
        <w:rPr>
          <w:rFonts w:cs="Calibri"/>
          <w:sz w:val="24"/>
          <w:szCs w:val="24"/>
        </w:rPr>
        <w:t xml:space="preserve"> → </w:t>
      </w:r>
      <w:r>
        <w:rPr>
          <w:rFonts w:cs="Calibri"/>
          <w:b/>
          <w:sz w:val="24"/>
          <w:szCs w:val="24"/>
        </w:rPr>
        <w:t>[H]</w:t>
      </w:r>
      <w:r>
        <w:rPr>
          <w:rFonts w:cs="Calibri"/>
          <w:sz w:val="24"/>
          <w:szCs w:val="24"/>
        </w:rPr>
        <w:t> conduit exclusivement à l’acide ricinoléique. Cette réaction est-elle stéréosélective ? Justifier.</w:t>
      </w:r>
    </w:p>
    <w:p w14:paraId="2422CBFF" w14:textId="77777777" w:rsidR="007461DA" w:rsidRDefault="001D0536">
      <w:pPr>
        <w:pStyle w:val="Paragraphedeliste"/>
        <w:spacing w:after="0"/>
        <w:ind w:left="0"/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lastRenderedPageBreak/>
        <w:t>Exercice 4 : Protection de fonctions</w:t>
      </w:r>
    </w:p>
    <w:p w14:paraId="65F8ABF5" w14:textId="77777777" w:rsidR="007461DA" w:rsidRDefault="001D0536">
      <w:pPr>
        <w:pStyle w:val="Standard"/>
        <w:rPr>
          <w:rFonts w:ascii="Calibri" w:hAnsi="Calibri"/>
        </w:rPr>
      </w:pPr>
      <w:r>
        <w:rPr>
          <w:rFonts w:ascii="Calibri" w:hAnsi="Calibri"/>
        </w:rPr>
        <w:t>Dans la synthèse suivante d’un stéroïde, indiquer les réactifs et conditions opératoires nécessaires pour les 10 étapes qui suivent. Expliquer l’intérêt des étapes.</w:t>
      </w:r>
    </w:p>
    <w:p w14:paraId="0FE9CA4C" w14:textId="77777777" w:rsidR="007461DA" w:rsidRDefault="001D0536">
      <w:pPr>
        <w:pStyle w:val="Standard"/>
        <w:jc w:val="center"/>
      </w:pPr>
      <w:r>
        <w:rPr>
          <w:noProof/>
        </w:rPr>
        <w:drawing>
          <wp:inline distT="0" distB="0" distL="0" distR="0" wp14:anchorId="36069DDF" wp14:editId="36E34E14">
            <wp:extent cx="5000760" cy="4132440"/>
            <wp:effectExtent l="0" t="0" r="9390" b="1410"/>
            <wp:docPr id="11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760" cy="41324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702757E" w14:textId="77777777" w:rsidR="007461DA" w:rsidRDefault="007461DA">
      <w:pPr>
        <w:pStyle w:val="Standard"/>
        <w:jc w:val="center"/>
        <w:rPr>
          <w:rFonts w:cs="Calibri"/>
          <w:b/>
          <w:bCs/>
          <w:u w:val="single"/>
        </w:rPr>
      </w:pPr>
    </w:p>
    <w:p w14:paraId="546218DF" w14:textId="77777777" w:rsidR="007461DA" w:rsidRDefault="001D0536">
      <w:pPr>
        <w:pStyle w:val="Paragraphedeliste"/>
        <w:spacing w:after="0"/>
        <w:ind w:left="0"/>
        <w:jc w:val="both"/>
        <w:rPr>
          <w:rFonts w:cs="Calibri"/>
          <w:b/>
          <w:bCs/>
          <w:sz w:val="24"/>
          <w:szCs w:val="24"/>
          <w:u w:val="single"/>
        </w:rPr>
      </w:pPr>
      <w:r>
        <w:rPr>
          <w:rFonts w:cs="Calibri"/>
          <w:b/>
          <w:bCs/>
          <w:sz w:val="24"/>
          <w:szCs w:val="24"/>
          <w:u w:val="single"/>
        </w:rPr>
        <w:t xml:space="preserve">Exercice 5 : Synthèse de la </w:t>
      </w:r>
      <w:proofErr w:type="spellStart"/>
      <w:r>
        <w:rPr>
          <w:rFonts w:cs="Calibri"/>
          <w:b/>
          <w:bCs/>
          <w:sz w:val="24"/>
          <w:szCs w:val="24"/>
          <w:u w:val="single"/>
        </w:rPr>
        <w:t>sordidine</w:t>
      </w:r>
      <w:proofErr w:type="spellEnd"/>
    </w:p>
    <w:p w14:paraId="52610265" w14:textId="77777777" w:rsidR="007461DA" w:rsidRDefault="001D0536">
      <w:pPr>
        <w:pStyle w:val="Standard"/>
        <w:jc w:val="center"/>
        <w:rPr>
          <w:rFonts w:cs="Calibri"/>
          <w:b/>
          <w:bCs/>
          <w:u w:val="single"/>
        </w:rPr>
      </w:pPr>
      <w:r>
        <w:rPr>
          <w:rFonts w:cs="Calibri"/>
          <w:b/>
          <w:bCs/>
          <w:noProof/>
          <w:u w:val="single"/>
        </w:rPr>
        <w:drawing>
          <wp:inline distT="0" distB="0" distL="0" distR="0" wp14:anchorId="4937157B" wp14:editId="613FDCB5">
            <wp:extent cx="5655959" cy="4424759"/>
            <wp:effectExtent l="0" t="0" r="1891" b="0"/>
            <wp:docPr id="12" name="images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 b="22929"/>
                    <a:stretch>
                      <a:fillRect/>
                    </a:stretch>
                  </pic:blipFill>
                  <pic:spPr>
                    <a:xfrm>
                      <a:off x="0" y="0"/>
                      <a:ext cx="5655959" cy="442475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EA5BF4B" w14:textId="77777777" w:rsidR="007461DA" w:rsidRDefault="001D0536">
      <w:pPr>
        <w:pStyle w:val="Standard"/>
        <w:jc w:val="center"/>
        <w:rPr>
          <w:rFonts w:cs="Calibri"/>
          <w:b/>
          <w:bCs/>
          <w:u w:val="single"/>
        </w:rPr>
      </w:pPr>
      <w:r>
        <w:rPr>
          <w:rFonts w:cs="Calibri"/>
          <w:b/>
          <w:bCs/>
          <w:noProof/>
          <w:u w:val="single"/>
        </w:rPr>
        <w:lastRenderedPageBreak/>
        <w:drawing>
          <wp:inline distT="0" distB="0" distL="0" distR="0" wp14:anchorId="6A030177" wp14:editId="105C19C9">
            <wp:extent cx="5655959" cy="1256759"/>
            <wp:effectExtent l="0" t="0" r="1891" b="541"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 t="76922"/>
                    <a:stretch>
                      <a:fillRect/>
                    </a:stretch>
                  </pic:blipFill>
                  <pic:spPr>
                    <a:xfrm>
                      <a:off x="0" y="0"/>
                      <a:ext cx="5655959" cy="125675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7A8A1F2" w14:textId="77777777" w:rsidR="007461DA" w:rsidRDefault="001D0536">
      <w:pPr>
        <w:pStyle w:val="Standard"/>
        <w:jc w:val="center"/>
        <w:rPr>
          <w:rFonts w:cs="Calibri"/>
          <w:b/>
          <w:bCs/>
          <w:u w:val="single"/>
        </w:rPr>
      </w:pPr>
      <w:r>
        <w:rPr>
          <w:rFonts w:cs="Calibri"/>
          <w:b/>
          <w:bCs/>
          <w:noProof/>
          <w:u w:val="single"/>
        </w:rPr>
        <w:drawing>
          <wp:inline distT="0" distB="0" distL="0" distR="0" wp14:anchorId="3855E88C" wp14:editId="52C702FF">
            <wp:extent cx="5584680" cy="1690199"/>
            <wp:effectExtent l="0" t="0" r="0" b="5251"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4680" cy="169019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B59AAF0" w14:textId="77777777" w:rsidR="007461DA" w:rsidRDefault="007461DA">
      <w:pPr>
        <w:pStyle w:val="Paragraphedeliste"/>
        <w:spacing w:after="0"/>
        <w:ind w:left="0"/>
        <w:rPr>
          <w:rFonts w:cs="Calibri"/>
          <w:b/>
          <w:bCs/>
          <w:sz w:val="24"/>
          <w:szCs w:val="24"/>
          <w:u w:val="single"/>
        </w:rPr>
      </w:pPr>
    </w:p>
    <w:p w14:paraId="49FF93DA" w14:textId="77777777" w:rsidR="007461DA" w:rsidRDefault="001D0536">
      <w:pPr>
        <w:pStyle w:val="Paragraphedeliste"/>
        <w:spacing w:after="0"/>
        <w:ind w:left="0"/>
        <w:rPr>
          <w:rFonts w:cs="Calibri"/>
          <w:b/>
          <w:bCs/>
          <w:sz w:val="24"/>
          <w:szCs w:val="24"/>
          <w:u w:val="single"/>
        </w:rPr>
      </w:pPr>
      <w:r>
        <w:rPr>
          <w:rFonts w:cs="Calibri"/>
          <w:b/>
          <w:bCs/>
          <w:sz w:val="24"/>
          <w:szCs w:val="24"/>
          <w:u w:val="single"/>
        </w:rPr>
        <w:t xml:space="preserve">Exercice 6 : Protection par les éthers </w:t>
      </w:r>
      <w:proofErr w:type="spellStart"/>
      <w:r>
        <w:rPr>
          <w:rFonts w:cs="Calibri"/>
          <w:b/>
          <w:bCs/>
          <w:sz w:val="24"/>
          <w:szCs w:val="24"/>
          <w:u w:val="single"/>
        </w:rPr>
        <w:t>silylés</w:t>
      </w:r>
      <w:proofErr w:type="spellEnd"/>
    </w:p>
    <w:p w14:paraId="6CD7E3CA" w14:textId="6FEE86FF" w:rsidR="007461DA" w:rsidRDefault="000A6231">
      <w:pPr>
        <w:pStyle w:val="Paragraphedeliste"/>
        <w:spacing w:after="0"/>
        <w:ind w:left="0"/>
        <w:rPr>
          <w:rFonts w:cs="Calibri"/>
          <w:b/>
          <w:bCs/>
          <w:sz w:val="24"/>
          <w:szCs w:val="24"/>
          <w:u w:val="single"/>
        </w:rPr>
      </w:pPr>
      <w:r w:rsidRPr="000A6231">
        <w:rPr>
          <w:rFonts w:cs="Calibri"/>
          <w:b/>
          <w:bCs/>
          <w:noProof/>
          <w:sz w:val="24"/>
          <w:szCs w:val="24"/>
          <w:u w:val="single"/>
        </w:rPr>
        <w:drawing>
          <wp:inline distT="0" distB="0" distL="0" distR="0" wp14:anchorId="2CBDCF43" wp14:editId="08C5031A">
            <wp:extent cx="6838950" cy="4867275"/>
            <wp:effectExtent l="0" t="0" r="0" b="952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AB52B" w14:textId="12A727AE" w:rsidR="007461DA" w:rsidRDefault="007461DA">
      <w:pPr>
        <w:pStyle w:val="Paragraphedeliste"/>
        <w:spacing w:after="0"/>
        <w:ind w:left="0"/>
        <w:rPr>
          <w:sz w:val="24"/>
          <w:szCs w:val="24"/>
        </w:rPr>
      </w:pPr>
    </w:p>
    <w:p w14:paraId="1A1504F8" w14:textId="77777777" w:rsidR="007461DA" w:rsidRDefault="007461DA">
      <w:pPr>
        <w:pStyle w:val="Paragraphedeliste"/>
        <w:spacing w:after="0"/>
        <w:ind w:left="0"/>
        <w:rPr>
          <w:sz w:val="24"/>
          <w:szCs w:val="24"/>
        </w:rPr>
      </w:pPr>
    </w:p>
    <w:p w14:paraId="336C6979" w14:textId="18169E23" w:rsidR="007461DA" w:rsidRDefault="000A6231">
      <w:pPr>
        <w:pStyle w:val="Paragraphedeliste"/>
        <w:spacing w:after="0"/>
        <w:ind w:left="0"/>
        <w:rPr>
          <w:sz w:val="24"/>
          <w:szCs w:val="24"/>
        </w:rPr>
      </w:pPr>
      <w:r w:rsidRPr="000A6231">
        <w:rPr>
          <w:noProof/>
          <w:sz w:val="24"/>
          <w:szCs w:val="24"/>
        </w:rPr>
        <w:lastRenderedPageBreak/>
        <w:drawing>
          <wp:inline distT="0" distB="0" distL="0" distR="0" wp14:anchorId="36BD7018" wp14:editId="1C821838">
            <wp:extent cx="6838950" cy="3838575"/>
            <wp:effectExtent l="0" t="0" r="0" b="952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71674" w14:textId="77777777" w:rsidR="007461DA" w:rsidRDefault="007461DA">
      <w:pPr>
        <w:pStyle w:val="Paragraphedeliste"/>
        <w:spacing w:after="0"/>
        <w:ind w:left="0"/>
        <w:rPr>
          <w:sz w:val="24"/>
          <w:szCs w:val="24"/>
        </w:rPr>
      </w:pPr>
    </w:p>
    <w:p w14:paraId="4DC555A1" w14:textId="77777777" w:rsidR="007461DA" w:rsidRDefault="001D0536">
      <w:pPr>
        <w:pStyle w:val="Paragraphedeliste"/>
        <w:spacing w:after="0"/>
        <w:ind w:left="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Éléments de correction</w:t>
      </w:r>
    </w:p>
    <w:p w14:paraId="2672D423" w14:textId="77777777" w:rsidR="007461DA" w:rsidRDefault="007461DA">
      <w:pPr>
        <w:pStyle w:val="Paragraphedeliste"/>
        <w:spacing w:after="0"/>
        <w:ind w:left="0"/>
        <w:rPr>
          <w:b/>
          <w:bCs/>
          <w:sz w:val="20"/>
          <w:szCs w:val="20"/>
        </w:rPr>
      </w:pPr>
    </w:p>
    <w:p w14:paraId="1E41039B" w14:textId="77777777" w:rsidR="007461DA" w:rsidRDefault="001D0536">
      <w:pPr>
        <w:pStyle w:val="Paragraphedeliste"/>
        <w:spacing w:after="0"/>
        <w:ind w:left="0"/>
        <w:rPr>
          <w:sz w:val="24"/>
          <w:szCs w:val="24"/>
        </w:rPr>
      </w:pPr>
      <w:r>
        <w:rPr>
          <w:b/>
          <w:bCs/>
          <w:sz w:val="20"/>
          <w:szCs w:val="20"/>
        </w:rPr>
        <w:t>Exercice 3 :</w:t>
      </w:r>
    </w:p>
    <w:p w14:paraId="3F341053" w14:textId="5F844013" w:rsidR="007461DA" w:rsidRDefault="000A6231">
      <w:pPr>
        <w:pStyle w:val="Standard"/>
        <w:jc w:val="center"/>
        <w:rPr>
          <w:rFonts w:ascii="Calibri" w:hAnsi="Calibri" w:cs="Calibri"/>
          <w:i/>
          <w:sz w:val="20"/>
          <w:szCs w:val="20"/>
        </w:rPr>
      </w:pPr>
      <w:r w:rsidRPr="000A6231">
        <w:rPr>
          <w:rFonts w:ascii="Calibri" w:hAnsi="Calibri" w:cs="Calibri"/>
          <w:i/>
          <w:noProof/>
          <w:sz w:val="20"/>
          <w:szCs w:val="20"/>
        </w:rPr>
        <w:drawing>
          <wp:inline distT="0" distB="0" distL="0" distR="0" wp14:anchorId="6F9AFCEE" wp14:editId="27E6231C">
            <wp:extent cx="4581525" cy="4800600"/>
            <wp:effectExtent l="0" t="0" r="952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310C6" w14:textId="7955B563" w:rsidR="007461DA" w:rsidRDefault="007461DA">
      <w:pPr>
        <w:pStyle w:val="Standard"/>
        <w:jc w:val="center"/>
        <w:rPr>
          <w:rFonts w:ascii="Calibri" w:hAnsi="Calibri" w:cs="Calibri"/>
          <w:i/>
          <w:sz w:val="20"/>
          <w:szCs w:val="20"/>
        </w:rPr>
      </w:pPr>
    </w:p>
    <w:p w14:paraId="681C8EA0" w14:textId="16816183" w:rsidR="000A6231" w:rsidRDefault="0058068C">
      <w:pPr>
        <w:pStyle w:val="Standard"/>
        <w:jc w:val="center"/>
        <w:rPr>
          <w:rFonts w:ascii="Calibri" w:hAnsi="Calibri" w:cs="Calibri"/>
          <w:i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C869968" wp14:editId="52B81B2C">
            <wp:extent cx="3524250" cy="1914525"/>
            <wp:effectExtent l="0" t="0" r="0" b="952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8E70D" w14:textId="77777777" w:rsidR="000A6231" w:rsidRDefault="000A6231">
      <w:pPr>
        <w:pStyle w:val="Standard"/>
        <w:jc w:val="center"/>
        <w:rPr>
          <w:rFonts w:ascii="Calibri" w:hAnsi="Calibri" w:cs="Calibri"/>
          <w:i/>
          <w:sz w:val="20"/>
          <w:szCs w:val="20"/>
        </w:rPr>
      </w:pPr>
    </w:p>
    <w:p w14:paraId="328766DA" w14:textId="387F3EFF" w:rsidR="007461DA" w:rsidRDefault="0058068C">
      <w:pPr>
        <w:pStyle w:val="Standard"/>
        <w:jc w:val="center"/>
        <w:rPr>
          <w:rFonts w:cs="Calibri"/>
          <w:b/>
          <w:bCs/>
          <w:sz w:val="20"/>
          <w:szCs w:val="20"/>
          <w:u w:val="single"/>
        </w:rPr>
      </w:pPr>
      <w:r w:rsidRPr="0058068C">
        <w:rPr>
          <w:rFonts w:cs="Calibri"/>
          <w:b/>
          <w:bCs/>
          <w:noProof/>
          <w:sz w:val="20"/>
          <w:szCs w:val="20"/>
          <w:u w:val="single"/>
        </w:rPr>
        <w:drawing>
          <wp:inline distT="0" distB="0" distL="0" distR="0" wp14:anchorId="04A0841F" wp14:editId="1CF957AE">
            <wp:extent cx="5153025" cy="781050"/>
            <wp:effectExtent l="0" t="0" r="9525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19AC1" w14:textId="4C6F282F" w:rsidR="007461DA" w:rsidRDefault="0058068C">
      <w:pPr>
        <w:pStyle w:val="Standard"/>
        <w:jc w:val="center"/>
        <w:rPr>
          <w:rFonts w:cs="Calibri"/>
          <w:b/>
          <w:bCs/>
          <w:sz w:val="20"/>
          <w:szCs w:val="20"/>
          <w:u w:val="single"/>
        </w:rPr>
      </w:pPr>
      <w:r w:rsidRPr="0058068C">
        <w:rPr>
          <w:rFonts w:cs="Calibri"/>
          <w:b/>
          <w:bCs/>
          <w:noProof/>
          <w:sz w:val="20"/>
          <w:szCs w:val="20"/>
          <w:u w:val="single"/>
        </w:rPr>
        <w:drawing>
          <wp:inline distT="0" distB="0" distL="0" distR="0" wp14:anchorId="5F656E90" wp14:editId="514F72D6">
            <wp:extent cx="4524375" cy="5438775"/>
            <wp:effectExtent l="0" t="0" r="9525" b="952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AA49E" w14:textId="77777777" w:rsidR="007461DA" w:rsidRDefault="007461DA">
      <w:pPr>
        <w:pStyle w:val="Paragraphedeliste"/>
        <w:spacing w:before="57" w:after="0"/>
        <w:ind w:left="0"/>
        <w:jc w:val="both"/>
        <w:rPr>
          <w:rFonts w:cs="Calibri"/>
          <w:b/>
          <w:bCs/>
          <w:sz w:val="20"/>
          <w:szCs w:val="20"/>
          <w:u w:val="single"/>
        </w:rPr>
      </w:pPr>
    </w:p>
    <w:p w14:paraId="6B2A3EAD" w14:textId="77777777" w:rsidR="007461DA" w:rsidRDefault="007461DA">
      <w:pPr>
        <w:pStyle w:val="Paragraphedeliste"/>
        <w:spacing w:before="57" w:after="0"/>
        <w:ind w:left="0"/>
        <w:jc w:val="both"/>
        <w:rPr>
          <w:rFonts w:cs="Calibri"/>
          <w:b/>
          <w:bCs/>
          <w:sz w:val="20"/>
          <w:szCs w:val="20"/>
          <w:u w:val="single"/>
        </w:rPr>
      </w:pPr>
    </w:p>
    <w:p w14:paraId="4EB367A9" w14:textId="77777777" w:rsidR="007461DA" w:rsidRDefault="007461DA">
      <w:pPr>
        <w:pStyle w:val="Paragraphedeliste"/>
        <w:spacing w:before="57" w:after="0"/>
        <w:ind w:left="0"/>
        <w:jc w:val="both"/>
        <w:rPr>
          <w:rFonts w:cs="Calibri"/>
          <w:b/>
          <w:bCs/>
          <w:sz w:val="20"/>
          <w:szCs w:val="20"/>
          <w:u w:val="single"/>
        </w:rPr>
      </w:pPr>
    </w:p>
    <w:p w14:paraId="539C9F20" w14:textId="77777777" w:rsidR="007461DA" w:rsidRDefault="007461DA">
      <w:pPr>
        <w:pStyle w:val="Paragraphedeliste"/>
        <w:spacing w:before="57" w:after="0"/>
        <w:ind w:left="0"/>
        <w:jc w:val="both"/>
        <w:rPr>
          <w:rFonts w:cs="Calibri"/>
          <w:b/>
          <w:bCs/>
          <w:sz w:val="20"/>
          <w:szCs w:val="20"/>
          <w:u w:val="single"/>
        </w:rPr>
      </w:pPr>
    </w:p>
    <w:p w14:paraId="3A917B92" w14:textId="108B3A2D" w:rsidR="007461DA" w:rsidRDefault="007461DA">
      <w:pPr>
        <w:pStyle w:val="Paragraphedeliste"/>
        <w:spacing w:after="0"/>
        <w:ind w:left="0"/>
        <w:rPr>
          <w:rFonts w:cs="Calibri"/>
          <w:b/>
          <w:bCs/>
          <w:sz w:val="20"/>
          <w:szCs w:val="20"/>
          <w:u w:val="single"/>
        </w:rPr>
      </w:pPr>
    </w:p>
    <w:p w14:paraId="48438ADE" w14:textId="3F6A19C8" w:rsidR="0058068C" w:rsidRDefault="0058068C">
      <w:pPr>
        <w:pStyle w:val="Paragraphedeliste"/>
        <w:spacing w:after="0"/>
        <w:ind w:left="0"/>
        <w:rPr>
          <w:rFonts w:cs="Calibri"/>
          <w:b/>
          <w:bCs/>
          <w:sz w:val="20"/>
          <w:szCs w:val="20"/>
          <w:u w:val="single"/>
        </w:rPr>
      </w:pPr>
    </w:p>
    <w:p w14:paraId="646BE7A5" w14:textId="77777777" w:rsidR="0058068C" w:rsidRDefault="0058068C">
      <w:pPr>
        <w:pStyle w:val="Paragraphedeliste"/>
        <w:spacing w:after="0"/>
        <w:ind w:left="0"/>
        <w:rPr>
          <w:rFonts w:cs="Calibri"/>
          <w:b/>
          <w:bCs/>
          <w:sz w:val="20"/>
          <w:szCs w:val="20"/>
          <w:u w:val="single"/>
        </w:rPr>
      </w:pPr>
    </w:p>
    <w:p w14:paraId="7A3E6DEC" w14:textId="77777777" w:rsidR="007461DA" w:rsidRDefault="001D0536">
      <w:pPr>
        <w:pStyle w:val="Paragraphedeliste"/>
        <w:spacing w:after="0"/>
        <w:ind w:left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Exercice 6</w:t>
      </w:r>
    </w:p>
    <w:p w14:paraId="480BE76D" w14:textId="77777777" w:rsidR="007461DA" w:rsidRDefault="007461DA">
      <w:pPr>
        <w:pStyle w:val="Paragraphedeliste"/>
        <w:spacing w:after="0"/>
        <w:ind w:left="0"/>
        <w:rPr>
          <w:sz w:val="20"/>
          <w:szCs w:val="20"/>
        </w:rPr>
      </w:pPr>
    </w:p>
    <w:p w14:paraId="0BBA21A2" w14:textId="078EDC50" w:rsidR="007461DA" w:rsidRDefault="0058068C">
      <w:pPr>
        <w:pStyle w:val="Paragraphedeliste"/>
        <w:spacing w:after="0"/>
        <w:ind w:left="0"/>
        <w:rPr>
          <w:sz w:val="20"/>
          <w:szCs w:val="20"/>
        </w:rPr>
      </w:pPr>
      <w:r w:rsidRPr="0058068C">
        <w:rPr>
          <w:noProof/>
          <w:sz w:val="20"/>
          <w:szCs w:val="20"/>
        </w:rPr>
        <w:drawing>
          <wp:inline distT="0" distB="0" distL="0" distR="0" wp14:anchorId="0EA690ED" wp14:editId="27129FDA">
            <wp:extent cx="6838950" cy="497205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61DA">
      <w:headerReference w:type="default" r:id="rId26"/>
      <w:pgSz w:w="11906" w:h="16838"/>
      <w:pgMar w:top="907" w:right="567" w:bottom="567" w:left="567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3CE131" w14:textId="77777777" w:rsidR="00B71C0F" w:rsidRDefault="00B71C0F">
      <w:r>
        <w:separator/>
      </w:r>
    </w:p>
  </w:endnote>
  <w:endnote w:type="continuationSeparator" w:id="0">
    <w:p w14:paraId="561D7F0E" w14:textId="77777777" w:rsidR="00B71C0F" w:rsidRDefault="00B71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, 'Arial Unicode MS'">
    <w:altName w:val="OpenSymbol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A40486" w14:textId="77777777" w:rsidR="00B71C0F" w:rsidRDefault="00B71C0F">
      <w:r>
        <w:rPr>
          <w:color w:val="000000"/>
        </w:rPr>
        <w:separator/>
      </w:r>
    </w:p>
  </w:footnote>
  <w:footnote w:type="continuationSeparator" w:id="0">
    <w:p w14:paraId="0B51A390" w14:textId="77777777" w:rsidR="00B71C0F" w:rsidRDefault="00B71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C8C42" w14:textId="5A90668C" w:rsidR="001D4242" w:rsidRDefault="001D0536">
    <w:pPr>
      <w:pStyle w:val="En-tte"/>
      <w:rPr>
        <w:rFonts w:ascii="Calibri" w:hAnsi="Calibri"/>
      </w:rPr>
    </w:pPr>
    <w:r>
      <w:rPr>
        <w:rFonts w:ascii="Calibri" w:hAnsi="Calibri"/>
        <w:i/>
        <w:iCs/>
      </w:rPr>
      <w:t xml:space="preserve">Partie </w:t>
    </w:r>
    <w:r w:rsidR="00084AE1">
      <w:rPr>
        <w:rFonts w:ascii="Calibri" w:hAnsi="Calibri"/>
        <w:i/>
        <w:iCs/>
      </w:rPr>
      <w:t>6</w:t>
    </w:r>
    <w:r>
      <w:rPr>
        <w:rFonts w:ascii="Calibri" w:hAnsi="Calibri"/>
        <w:i/>
        <w:iCs/>
      </w:rPr>
      <w:t xml:space="preserve"> : Chimie organique (II)</w:t>
    </w:r>
    <w:r>
      <w:rPr>
        <w:rFonts w:ascii="Calibri" w:hAnsi="Calibri"/>
      </w:rPr>
      <w:tab/>
    </w:r>
    <w:r>
      <w:rPr>
        <w:rFonts w:ascii="Calibri" w:hAnsi="Calibri"/>
      </w:rPr>
      <w:tab/>
      <w:t xml:space="preserve">Chapitre </w:t>
    </w:r>
    <w:r w:rsidR="00084AE1">
      <w:rPr>
        <w:rFonts w:ascii="Calibri" w:hAnsi="Calibri"/>
      </w:rPr>
      <w:t>4</w:t>
    </w:r>
    <w:r>
      <w:rPr>
        <w:rFonts w:ascii="Calibri" w:hAnsi="Calibri"/>
      </w:rPr>
      <w:t xml:space="preserve"> : Protection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B2606"/>
    <w:multiLevelType w:val="multilevel"/>
    <w:tmpl w:val="DD801294"/>
    <w:styleLink w:val="WW8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2A4F2E"/>
    <w:multiLevelType w:val="multilevel"/>
    <w:tmpl w:val="B180FF36"/>
    <w:styleLink w:val="WW8Num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2F3923"/>
    <w:multiLevelType w:val="multilevel"/>
    <w:tmpl w:val="40788950"/>
    <w:styleLink w:val="WW8Num9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F496E3A"/>
    <w:multiLevelType w:val="multilevel"/>
    <w:tmpl w:val="FA2AB2CA"/>
    <w:styleLink w:val="WW8Num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8547CE"/>
    <w:multiLevelType w:val="multilevel"/>
    <w:tmpl w:val="D4487804"/>
    <w:styleLink w:val="WW8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EF46E0"/>
    <w:multiLevelType w:val="multilevel"/>
    <w:tmpl w:val="A2D8E30E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20290B"/>
    <w:multiLevelType w:val="multilevel"/>
    <w:tmpl w:val="8B3E636C"/>
    <w:styleLink w:val="WW8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EF07A2"/>
    <w:multiLevelType w:val="multilevel"/>
    <w:tmpl w:val="1CBCC97C"/>
    <w:styleLink w:val="WW8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D05E92"/>
    <w:multiLevelType w:val="multilevel"/>
    <w:tmpl w:val="8F20394C"/>
    <w:styleLink w:val="WW8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51608F"/>
    <w:multiLevelType w:val="multilevel"/>
    <w:tmpl w:val="214CDEBE"/>
    <w:styleLink w:val="WW8Num1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045D84"/>
    <w:multiLevelType w:val="multilevel"/>
    <w:tmpl w:val="B05893CE"/>
    <w:styleLink w:val="WW8Num11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75AB6CB6"/>
    <w:multiLevelType w:val="multilevel"/>
    <w:tmpl w:val="B07E4A0C"/>
    <w:styleLink w:val="WW8Num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1143ED"/>
    <w:multiLevelType w:val="multilevel"/>
    <w:tmpl w:val="2E48C69A"/>
    <w:styleLink w:val="WW8Num7"/>
    <w:lvl w:ilvl="0">
      <w:start w:val="2"/>
      <w:numFmt w:val="lowerLetter"/>
      <w:lvlText w:val="%1)"/>
      <w:lvlJc w:val="left"/>
      <w:pPr>
        <w:ind w:left="1065" w:hanging="360"/>
      </w:p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13" w15:restartNumberingAfterBreak="0">
    <w:nsid w:val="7F360A3F"/>
    <w:multiLevelType w:val="multilevel"/>
    <w:tmpl w:val="6694C64C"/>
    <w:styleLink w:val="WW8Num32"/>
    <w:lvl w:ilvl="0">
      <w:numFmt w:val="bullet"/>
      <w:lvlText w:val="-"/>
      <w:lvlJc w:val="left"/>
      <w:pPr>
        <w:ind w:left="360" w:hanging="360"/>
      </w:pPr>
      <w:rPr>
        <w:rFonts w:ascii="OpenSymbol, 'Arial Unicode MS'" w:hAnsi="OpenSymbol, 'Arial Unicode MS'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num w:numId="1" w16cid:durableId="1796286927">
    <w:abstractNumId w:val="4"/>
  </w:num>
  <w:num w:numId="2" w16cid:durableId="1030494013">
    <w:abstractNumId w:val="6"/>
  </w:num>
  <w:num w:numId="3" w16cid:durableId="359092651">
    <w:abstractNumId w:val="7"/>
  </w:num>
  <w:num w:numId="4" w16cid:durableId="883718262">
    <w:abstractNumId w:val="8"/>
  </w:num>
  <w:num w:numId="5" w16cid:durableId="209655936">
    <w:abstractNumId w:val="5"/>
  </w:num>
  <w:num w:numId="6" w16cid:durableId="1387682120">
    <w:abstractNumId w:val="3"/>
  </w:num>
  <w:num w:numId="7" w16cid:durableId="1106389988">
    <w:abstractNumId w:val="12"/>
  </w:num>
  <w:num w:numId="8" w16cid:durableId="2046831929">
    <w:abstractNumId w:val="0"/>
  </w:num>
  <w:num w:numId="9" w16cid:durableId="372194374">
    <w:abstractNumId w:val="2"/>
  </w:num>
  <w:num w:numId="10" w16cid:durableId="555553237">
    <w:abstractNumId w:val="1"/>
  </w:num>
  <w:num w:numId="11" w16cid:durableId="2017804485">
    <w:abstractNumId w:val="10"/>
  </w:num>
  <w:num w:numId="12" w16cid:durableId="522790372">
    <w:abstractNumId w:val="11"/>
  </w:num>
  <w:num w:numId="13" w16cid:durableId="1849832434">
    <w:abstractNumId w:val="9"/>
  </w:num>
  <w:num w:numId="14" w16cid:durableId="20590258">
    <w:abstractNumId w:val="13"/>
  </w:num>
  <w:num w:numId="15" w16cid:durableId="651368254">
    <w:abstractNumId w:val="13"/>
  </w:num>
  <w:num w:numId="16" w16cid:durableId="499543044">
    <w:abstractNumId w:val="0"/>
    <w:lvlOverride w:ilvl="0">
      <w:startOverride w:val="1"/>
    </w:lvlOverride>
  </w:num>
  <w:num w:numId="17" w16cid:durableId="1739665177">
    <w:abstractNumId w:val="1"/>
    <w:lvlOverride w:ilvl="0">
      <w:startOverride w:val="1"/>
    </w:lvlOverride>
  </w:num>
  <w:num w:numId="18" w16cid:durableId="263609340">
    <w:abstractNumId w:val="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1DA"/>
    <w:rsid w:val="00084AE1"/>
    <w:rsid w:val="000A6231"/>
    <w:rsid w:val="001D0536"/>
    <w:rsid w:val="002233AF"/>
    <w:rsid w:val="00380445"/>
    <w:rsid w:val="0058068C"/>
    <w:rsid w:val="005B51CE"/>
    <w:rsid w:val="0070461A"/>
    <w:rsid w:val="007461DA"/>
    <w:rsid w:val="008945CF"/>
    <w:rsid w:val="00B71C0F"/>
    <w:rsid w:val="00BC7B0A"/>
    <w:rsid w:val="00C72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97AB8"/>
  <w15:docId w15:val="{9AD1FFEA-2499-40E3-BEF5-FD998478E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Standard"/>
    <w:next w:val="Standard"/>
    <w:uiPriority w:val="9"/>
    <w:qFormat/>
    <w:pPr>
      <w:keepNext/>
      <w:outlineLvl w:val="0"/>
    </w:pPr>
    <w:rPr>
      <w:rFonts w:ascii="Comic Sans MS" w:hAnsi="Comic Sans MS"/>
      <w:b/>
      <w:bCs/>
      <w:u w:val="single"/>
    </w:rPr>
  </w:style>
  <w:style w:type="paragraph" w:styleId="Titre2">
    <w:name w:val="heading 2"/>
    <w:basedOn w:val="Standard"/>
    <w:next w:val="Standard"/>
    <w:uiPriority w:val="9"/>
    <w:semiHidden/>
    <w:unhideWhenUsed/>
    <w:qFormat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  <w:outlineLvl w:val="1"/>
    </w:pPr>
    <w:rPr>
      <w:rFonts w:ascii="Comic Sans MS" w:hAnsi="Comic Sans MS"/>
      <w:b/>
      <w:bCs/>
      <w:sz w:val="40"/>
    </w:rPr>
  </w:style>
  <w:style w:type="paragraph" w:styleId="Titre3">
    <w:name w:val="heading 3"/>
    <w:basedOn w:val="Standard"/>
    <w:next w:val="Standard"/>
    <w:uiPriority w:val="9"/>
    <w:semiHidden/>
    <w:unhideWhenUsed/>
    <w:qFormat/>
    <w:pPr>
      <w:keepNext/>
      <w:jc w:val="center"/>
      <w:outlineLvl w:val="2"/>
    </w:pPr>
    <w:rPr>
      <w:rFonts w:ascii="Comic Sans MS" w:hAnsi="Comic Sans MS"/>
      <w:b/>
      <w:bCs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eastAsia="Times New Roman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Textbody">
    <w:name w:val="Text body"/>
    <w:basedOn w:val="Standard"/>
    <w:rPr>
      <w:rFonts w:ascii="Comic Sans MS" w:hAnsi="Comic Sans MS"/>
      <w:sz w:val="22"/>
    </w:rPr>
  </w:style>
  <w:style w:type="paragraph" w:styleId="Liste">
    <w:name w:val="List"/>
    <w:basedOn w:val="Textbody"/>
    <w:rPr>
      <w:rFonts w:cs="Mangal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Corpsdetexte2">
    <w:name w:val="Body Text 2"/>
    <w:basedOn w:val="Standard"/>
    <w:pPr>
      <w:jc w:val="both"/>
    </w:pPr>
    <w:rPr>
      <w:rFonts w:ascii="Comic Sans MS" w:hAnsi="Comic Sans MS"/>
      <w:sz w:val="22"/>
    </w:rPr>
  </w:style>
  <w:style w:type="paragraph" w:styleId="Paragraphedeliste">
    <w:name w:val="List Paragraph"/>
    <w:basedOn w:val="Standard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En-tte">
    <w:name w:val="header"/>
    <w:basedOn w:val="Standard"/>
    <w:pPr>
      <w:suppressLineNumbers/>
      <w:tabs>
        <w:tab w:val="center" w:pos="5233"/>
        <w:tab w:val="right" w:pos="10466"/>
      </w:tabs>
    </w:pPr>
  </w:style>
  <w:style w:type="paragraph" w:customStyle="1" w:styleId="Listecouleur-Accent12">
    <w:name w:val="Liste couleur - Accent 12"/>
    <w:basedOn w:val="Standard"/>
    <w:pPr>
      <w:spacing w:after="200"/>
    </w:pPr>
    <w:rPr>
      <w:lang w:val="en-GB"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itre">
    <w:name w:val="Title"/>
    <w:basedOn w:val="Heading"/>
    <w:next w:val="Textbody"/>
    <w:uiPriority w:val="10"/>
    <w:qFormat/>
    <w:pPr>
      <w:jc w:val="center"/>
    </w:pPr>
    <w:rPr>
      <w:b/>
      <w:bCs/>
      <w:sz w:val="56"/>
      <w:szCs w:val="56"/>
    </w:rPr>
  </w:style>
  <w:style w:type="paragraph" w:styleId="Sous-titre">
    <w:name w:val="Subtitle"/>
    <w:basedOn w:val="Heading"/>
    <w:next w:val="Textbody"/>
    <w:uiPriority w:val="11"/>
    <w:qFormat/>
    <w:pPr>
      <w:spacing w:before="60"/>
      <w:jc w:val="center"/>
    </w:pPr>
    <w:rPr>
      <w:sz w:val="36"/>
      <w:szCs w:val="36"/>
    </w:rPr>
  </w:style>
  <w:style w:type="character" w:customStyle="1" w:styleId="WW8Num9z0">
    <w:name w:val="WW8Num9z0"/>
    <w:rPr>
      <w:rFonts w:ascii="Times New Roman" w:eastAsia="Times New Roman" w:hAnsi="Times New Roman" w:cs="Times New Roman"/>
      <w:sz w:val="24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WW8Num11z0">
    <w:name w:val="WW8Num11z0"/>
    <w:rPr>
      <w:rFonts w:ascii="Times New Roman" w:eastAsia="Times New Roman" w:hAnsi="Times New Roman" w:cs="Times New Roman"/>
      <w:sz w:val="24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32z0">
    <w:name w:val="WW8Num32z0"/>
    <w:rPr>
      <w:rFonts w:ascii="Symbol" w:hAnsi="Symbol"/>
    </w:rPr>
  </w:style>
  <w:style w:type="character" w:customStyle="1" w:styleId="WW8Num32z1">
    <w:name w:val="WW8Num32z1"/>
    <w:rPr>
      <w:rFonts w:ascii="Courier New" w:hAnsi="Courier New"/>
    </w:rPr>
  </w:style>
  <w:style w:type="character" w:customStyle="1" w:styleId="WW8Num32z2">
    <w:name w:val="WW8Num32z2"/>
    <w:rPr>
      <w:rFonts w:ascii="Wingdings" w:hAnsi="Wingdings"/>
    </w:rPr>
  </w:style>
  <w:style w:type="character" w:customStyle="1" w:styleId="WW8Num32z3">
    <w:name w:val="WW8Num32z3"/>
    <w:rPr>
      <w:rFonts w:ascii="Symbol" w:hAnsi="Symbol"/>
    </w:rPr>
  </w:style>
  <w:style w:type="character" w:customStyle="1" w:styleId="NumberingSymbols">
    <w:name w:val="Numbering Symbols"/>
  </w:style>
  <w:style w:type="numbering" w:customStyle="1" w:styleId="WW8Num1">
    <w:name w:val="WW8Num1"/>
    <w:basedOn w:val="Aucuneliste"/>
    <w:pPr>
      <w:numPr>
        <w:numId w:val="1"/>
      </w:numPr>
    </w:pPr>
  </w:style>
  <w:style w:type="numbering" w:customStyle="1" w:styleId="WW8Num2">
    <w:name w:val="WW8Num2"/>
    <w:basedOn w:val="Aucuneliste"/>
    <w:pPr>
      <w:numPr>
        <w:numId w:val="2"/>
      </w:numPr>
    </w:pPr>
  </w:style>
  <w:style w:type="numbering" w:customStyle="1" w:styleId="WW8Num3">
    <w:name w:val="WW8Num3"/>
    <w:basedOn w:val="Aucuneliste"/>
    <w:pPr>
      <w:numPr>
        <w:numId w:val="3"/>
      </w:numPr>
    </w:pPr>
  </w:style>
  <w:style w:type="numbering" w:customStyle="1" w:styleId="WW8Num4">
    <w:name w:val="WW8Num4"/>
    <w:basedOn w:val="Aucuneliste"/>
    <w:pPr>
      <w:numPr>
        <w:numId w:val="4"/>
      </w:numPr>
    </w:pPr>
  </w:style>
  <w:style w:type="numbering" w:customStyle="1" w:styleId="WW8Num5">
    <w:name w:val="WW8Num5"/>
    <w:basedOn w:val="Aucuneliste"/>
    <w:pPr>
      <w:numPr>
        <w:numId w:val="5"/>
      </w:numPr>
    </w:pPr>
  </w:style>
  <w:style w:type="numbering" w:customStyle="1" w:styleId="WW8Num6">
    <w:name w:val="WW8Num6"/>
    <w:basedOn w:val="Aucuneliste"/>
    <w:pPr>
      <w:numPr>
        <w:numId w:val="6"/>
      </w:numPr>
    </w:pPr>
  </w:style>
  <w:style w:type="numbering" w:customStyle="1" w:styleId="WW8Num7">
    <w:name w:val="WW8Num7"/>
    <w:basedOn w:val="Aucuneliste"/>
    <w:pPr>
      <w:numPr>
        <w:numId w:val="7"/>
      </w:numPr>
    </w:pPr>
  </w:style>
  <w:style w:type="numbering" w:customStyle="1" w:styleId="WW8Num8">
    <w:name w:val="WW8Num8"/>
    <w:basedOn w:val="Aucuneliste"/>
    <w:pPr>
      <w:numPr>
        <w:numId w:val="8"/>
      </w:numPr>
    </w:pPr>
  </w:style>
  <w:style w:type="numbering" w:customStyle="1" w:styleId="WW8Num9">
    <w:name w:val="WW8Num9"/>
    <w:basedOn w:val="Aucuneliste"/>
    <w:pPr>
      <w:numPr>
        <w:numId w:val="9"/>
      </w:numPr>
    </w:pPr>
  </w:style>
  <w:style w:type="numbering" w:customStyle="1" w:styleId="WW8Num10">
    <w:name w:val="WW8Num10"/>
    <w:basedOn w:val="Aucuneliste"/>
    <w:pPr>
      <w:numPr>
        <w:numId w:val="10"/>
      </w:numPr>
    </w:pPr>
  </w:style>
  <w:style w:type="numbering" w:customStyle="1" w:styleId="WW8Num11">
    <w:name w:val="WW8Num11"/>
    <w:basedOn w:val="Aucuneliste"/>
    <w:pPr>
      <w:numPr>
        <w:numId w:val="11"/>
      </w:numPr>
    </w:pPr>
  </w:style>
  <w:style w:type="numbering" w:customStyle="1" w:styleId="WW8Num12">
    <w:name w:val="WW8Num12"/>
    <w:basedOn w:val="Aucuneliste"/>
    <w:pPr>
      <w:numPr>
        <w:numId w:val="12"/>
      </w:numPr>
    </w:pPr>
  </w:style>
  <w:style w:type="numbering" w:customStyle="1" w:styleId="WW8Num13">
    <w:name w:val="WW8Num13"/>
    <w:basedOn w:val="Aucuneliste"/>
    <w:pPr>
      <w:numPr>
        <w:numId w:val="13"/>
      </w:numPr>
    </w:pPr>
  </w:style>
  <w:style w:type="numbering" w:customStyle="1" w:styleId="WW8Num32">
    <w:name w:val="WW8Num32"/>
    <w:basedOn w:val="Aucuneliste"/>
    <w:pPr>
      <w:numPr>
        <w:numId w:val="14"/>
      </w:numPr>
    </w:pPr>
  </w:style>
  <w:style w:type="paragraph" w:styleId="Pieddepage">
    <w:name w:val="footer"/>
    <w:basedOn w:val="Normal"/>
    <w:link w:val="PieddepageCar"/>
    <w:uiPriority w:val="99"/>
    <w:unhideWhenUsed/>
    <w:rsid w:val="00084AE1"/>
    <w:pPr>
      <w:tabs>
        <w:tab w:val="center" w:pos="4536"/>
        <w:tab w:val="right" w:pos="9072"/>
      </w:tabs>
    </w:pPr>
    <w:rPr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084AE1"/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w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7</Pages>
  <Words>738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Lycée Thiers</vt:lpstr>
    </vt:vector>
  </TitlesOfParts>
  <Company/>
  <LinksUpToDate>false</LinksUpToDate>
  <CharactersWithSpaces>4794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Lycée Thiers</dc:title>
  <dc:creator>JU</dc:creator>
  <cp:lastModifiedBy>Christine</cp:lastModifiedBy>
  <cp:revision>7</cp:revision>
  <cp:lastPrinted>2016-05-03T12:49:00Z</cp:lastPrinted>
  <dcterms:created xsi:type="dcterms:W3CDTF">2022-05-25T16:48:00Z</dcterms:created>
  <dcterms:modified xsi:type="dcterms:W3CDTF">2023-04-11T19:56:00Z</dcterms:modified>
</cp:coreProperties>
</file>