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471F" w:rsidRDefault="00604FCA">
      <w:pPr>
        <w:spacing w:after="240"/>
        <w:jc w:val="center"/>
      </w:pPr>
      <w:bookmarkStart w:id="0" w:name="_GoBack"/>
      <w:bookmarkEnd w:id="0"/>
      <w:r>
        <w:rPr>
          <w:b/>
          <w:bCs/>
        </w:rPr>
        <w:t>Interrogation bilan – Durée : 2 heures</w:t>
      </w:r>
    </w:p>
    <w:p w:rsidR="000F76BB" w:rsidRPr="005B6927" w:rsidRDefault="00604FCA" w:rsidP="005B6927">
      <w:pPr>
        <w:spacing w:after="360"/>
        <w:jc w:val="center"/>
      </w:pPr>
      <w:r>
        <w:rPr>
          <w:b/>
          <w:bCs/>
          <w:i/>
          <w:iCs/>
          <w:sz w:val="26"/>
          <w:szCs w:val="26"/>
        </w:rPr>
        <w:t xml:space="preserve">Georges Canguilhem, La connaissance de la vie </w:t>
      </w:r>
    </w:p>
    <w:p w:rsidR="0092471F" w:rsidRPr="005B6927" w:rsidRDefault="00604FCA" w:rsidP="00BD1FB5">
      <w:pPr>
        <w:spacing w:after="240"/>
        <w:jc w:val="both"/>
        <w:rPr>
          <w:i/>
          <w:iCs/>
        </w:rPr>
      </w:pPr>
      <w:r w:rsidRPr="005B6927">
        <w:rPr>
          <w:b/>
          <w:bCs/>
          <w:i/>
          <w:iCs/>
        </w:rPr>
        <w:t xml:space="preserve">Consigne : </w:t>
      </w:r>
      <w:r w:rsidRPr="005B6927">
        <w:rPr>
          <w:i/>
          <w:iCs/>
        </w:rPr>
        <w:t>Répondez aux questions suivantes en veillant à justifier vos réponses par des références précises au cours. Pour les questions d'explication de texte, n'hésitez pas à citer des passages et à les commenter.</w:t>
      </w:r>
    </w:p>
    <w:p w:rsidR="000F76BB" w:rsidRDefault="000F76BB" w:rsidP="00BD1FB5">
      <w:pPr>
        <w:spacing w:after="240"/>
        <w:jc w:val="both"/>
      </w:pPr>
    </w:p>
    <w:p w:rsidR="0092471F" w:rsidRDefault="00604FCA">
      <w:pPr>
        <w:pStyle w:val="Titre1"/>
        <w:spacing w:before="360"/>
      </w:pPr>
      <w:r>
        <w:t>Partie I – Questions de connaissance du cours (</w:t>
      </w:r>
      <w:r w:rsidR="003B3BD9">
        <w:t>10</w:t>
      </w:r>
      <w:r>
        <w:t xml:space="preserve"> points</w:t>
      </w:r>
      <w:r w:rsidR="00B1765D">
        <w:t>, 1h</w:t>
      </w:r>
      <w:r>
        <w:t>)</w:t>
      </w:r>
    </w:p>
    <w:p w:rsidR="0092471F" w:rsidRDefault="00604FCA" w:rsidP="00BD1FB5">
      <w:pPr>
        <w:pStyle w:val="Titre2"/>
        <w:spacing w:before="240" w:after="120"/>
        <w:jc w:val="both"/>
      </w:pPr>
      <w:r>
        <w:t>Question 1</w:t>
      </w:r>
      <w:r w:rsidR="009F0543">
        <w:t> : « La pensée et le vivant »</w:t>
      </w:r>
      <w:r>
        <w:t xml:space="preserve"> (2</w:t>
      </w:r>
      <w:r w:rsidR="00983FEE">
        <w:t>,5</w:t>
      </w:r>
      <w:r>
        <w:t xml:space="preserve"> points)</w:t>
      </w:r>
    </w:p>
    <w:p w:rsidR="0092471F" w:rsidRDefault="00604FCA" w:rsidP="00BD1FB5">
      <w:pPr>
        <w:spacing w:after="240"/>
        <w:jc w:val="both"/>
        <w:rPr>
          <w:i/>
          <w:iCs/>
        </w:rPr>
      </w:pPr>
      <w:r>
        <w:rPr>
          <w:i/>
          <w:iCs/>
        </w:rPr>
        <w:t>Dans l'introduction de La connaissance de la vie</w:t>
      </w:r>
      <w:r w:rsidR="00CC4774">
        <w:rPr>
          <w:i/>
          <w:iCs/>
        </w:rPr>
        <w:t xml:space="preserve"> (« La pensée et le vivant »)</w:t>
      </w:r>
      <w:r>
        <w:rPr>
          <w:i/>
          <w:iCs/>
        </w:rPr>
        <w:t>, Canguilhem critique la prétention de la science à se placer dans une position de surplomb par rapport à la vie. Expliquez cette critique</w:t>
      </w:r>
      <w:r w:rsidR="00BD1FB5">
        <w:rPr>
          <w:i/>
          <w:iCs/>
        </w:rPr>
        <w:t>.</w:t>
      </w:r>
      <w:r>
        <w:rPr>
          <w:i/>
          <w:iCs/>
        </w:rPr>
        <w:t xml:space="preserve"> </w:t>
      </w:r>
    </w:p>
    <w:p w:rsidR="004F24BB" w:rsidRDefault="004F24BB" w:rsidP="00BD1FB5">
      <w:pPr>
        <w:spacing w:after="240"/>
        <w:jc w:val="both"/>
      </w:pPr>
    </w:p>
    <w:p w:rsidR="0092471F" w:rsidRDefault="00604FCA">
      <w:pPr>
        <w:pStyle w:val="Titre2"/>
        <w:spacing w:before="240" w:after="120"/>
      </w:pPr>
      <w:r>
        <w:t>Question 2</w:t>
      </w:r>
      <w:r w:rsidR="009F0543">
        <w:t> : « Le vivant et son milieu »</w:t>
      </w:r>
      <w:r>
        <w:t xml:space="preserve"> (2</w:t>
      </w:r>
      <w:r w:rsidR="00983FEE">
        <w:t>,5</w:t>
      </w:r>
      <w:r>
        <w:t xml:space="preserve"> points)</w:t>
      </w:r>
    </w:p>
    <w:p w:rsidR="0092471F" w:rsidRDefault="00604FCA" w:rsidP="00BD1FB5">
      <w:pPr>
        <w:spacing w:after="240"/>
        <w:jc w:val="both"/>
        <w:rPr>
          <w:i/>
          <w:iCs/>
        </w:rPr>
      </w:pPr>
      <w:r>
        <w:rPr>
          <w:i/>
          <w:iCs/>
        </w:rPr>
        <w:t xml:space="preserve">Distinguez précisément les concepts </w:t>
      </w:r>
      <w:r w:rsidRPr="00502A87">
        <w:rPr>
          <w:i/>
          <w:iCs/>
        </w:rPr>
        <w:t>d'</w:t>
      </w:r>
      <w:proofErr w:type="spellStart"/>
      <w:r w:rsidRPr="00502A87">
        <w:rPr>
          <w:i/>
          <w:iCs/>
        </w:rPr>
        <w:t>Umwelt</w:t>
      </w:r>
      <w:proofErr w:type="spellEnd"/>
      <w:r>
        <w:rPr>
          <w:i/>
          <w:iCs/>
        </w:rPr>
        <w:t xml:space="preserve"> (milieu) et </w:t>
      </w:r>
      <w:r w:rsidRPr="00702647">
        <w:rPr>
          <w:i/>
          <w:iCs/>
        </w:rPr>
        <w:t>d'</w:t>
      </w:r>
      <w:proofErr w:type="spellStart"/>
      <w:r w:rsidRPr="00702647">
        <w:rPr>
          <w:i/>
          <w:iCs/>
        </w:rPr>
        <w:t>Umgebung</w:t>
      </w:r>
      <w:proofErr w:type="spellEnd"/>
      <w:r w:rsidR="00BD1FB5">
        <w:rPr>
          <w:i/>
          <w:iCs/>
        </w:rPr>
        <w:t xml:space="preserve"> </w:t>
      </w:r>
      <w:r>
        <w:rPr>
          <w:i/>
          <w:iCs/>
        </w:rPr>
        <w:t xml:space="preserve">(environnement) selon Jakob </w:t>
      </w:r>
      <w:proofErr w:type="spellStart"/>
      <w:r>
        <w:rPr>
          <w:i/>
          <w:iCs/>
        </w:rPr>
        <w:t>von</w:t>
      </w:r>
      <w:proofErr w:type="spellEnd"/>
      <w:r>
        <w:rPr>
          <w:i/>
          <w:iCs/>
        </w:rPr>
        <w:t xml:space="preserve"> </w:t>
      </w:r>
      <w:proofErr w:type="spellStart"/>
      <w:r>
        <w:rPr>
          <w:i/>
          <w:iCs/>
        </w:rPr>
        <w:t>Uexküll</w:t>
      </w:r>
      <w:proofErr w:type="spellEnd"/>
      <w:r>
        <w:rPr>
          <w:i/>
          <w:iCs/>
        </w:rPr>
        <w:t xml:space="preserve">. Pourquoi cette distinction est-elle essentielle pour comprendre </w:t>
      </w:r>
      <w:proofErr w:type="gramStart"/>
      <w:r>
        <w:rPr>
          <w:i/>
          <w:iCs/>
        </w:rPr>
        <w:t>la</w:t>
      </w:r>
      <w:proofErr w:type="gramEnd"/>
      <w:r>
        <w:rPr>
          <w:i/>
          <w:iCs/>
        </w:rPr>
        <w:t xml:space="preserve"> critique </w:t>
      </w:r>
      <w:proofErr w:type="spellStart"/>
      <w:r>
        <w:rPr>
          <w:i/>
          <w:iCs/>
        </w:rPr>
        <w:t>canguilhemienne</w:t>
      </w:r>
      <w:proofErr w:type="spellEnd"/>
      <w:r>
        <w:rPr>
          <w:i/>
          <w:iCs/>
        </w:rPr>
        <w:t xml:space="preserve"> du déterminisme biologique ?</w:t>
      </w:r>
    </w:p>
    <w:p w:rsidR="004F24BB" w:rsidRDefault="004F24BB" w:rsidP="00BD1FB5">
      <w:pPr>
        <w:spacing w:after="240"/>
        <w:jc w:val="both"/>
      </w:pPr>
    </w:p>
    <w:p w:rsidR="0092471F" w:rsidRDefault="00604FCA">
      <w:pPr>
        <w:pStyle w:val="Titre2"/>
        <w:spacing w:before="240" w:after="120"/>
      </w:pPr>
      <w:r>
        <w:t>Question 3</w:t>
      </w:r>
      <w:r w:rsidR="006D758B">
        <w:t> : « Machine et organisme »</w:t>
      </w:r>
      <w:r>
        <w:t xml:space="preserve"> (2</w:t>
      </w:r>
      <w:r w:rsidR="00983FEE">
        <w:t>,5</w:t>
      </w:r>
      <w:r>
        <w:t xml:space="preserve"> points)</w:t>
      </w:r>
    </w:p>
    <w:p w:rsidR="0092471F" w:rsidRDefault="00604FCA" w:rsidP="00BD1FB5">
      <w:pPr>
        <w:spacing w:after="240"/>
        <w:jc w:val="both"/>
        <w:rPr>
          <w:i/>
          <w:iCs/>
        </w:rPr>
      </w:pPr>
      <w:r>
        <w:rPr>
          <w:i/>
          <w:iCs/>
        </w:rPr>
        <w:t xml:space="preserve">Qu'est-ce que la théorie de l'animal-machine chez Descartes ? En quoi cette théorie sert-elle, selon </w:t>
      </w:r>
      <w:r w:rsidR="008F7B61">
        <w:rPr>
          <w:i/>
          <w:iCs/>
        </w:rPr>
        <w:t>Canguilhem</w:t>
      </w:r>
      <w:r>
        <w:rPr>
          <w:i/>
          <w:iCs/>
        </w:rPr>
        <w:t xml:space="preserve">, un projet de domination de la nature ? </w:t>
      </w:r>
    </w:p>
    <w:p w:rsidR="004F24BB" w:rsidRDefault="004F24BB" w:rsidP="00BD1FB5">
      <w:pPr>
        <w:spacing w:after="240"/>
        <w:jc w:val="both"/>
      </w:pPr>
    </w:p>
    <w:p w:rsidR="0092471F" w:rsidRDefault="00604FCA" w:rsidP="00846BA3">
      <w:pPr>
        <w:pStyle w:val="Titre2"/>
        <w:spacing w:before="240" w:after="120"/>
        <w:jc w:val="both"/>
      </w:pPr>
      <w:r>
        <w:t>Question 4</w:t>
      </w:r>
      <w:r w:rsidR="00280CB2">
        <w:t> : « La monstruosité et le monstrueux »</w:t>
      </w:r>
      <w:r>
        <w:t xml:space="preserve"> (2</w:t>
      </w:r>
      <w:r w:rsidR="00983FEE">
        <w:t>,5</w:t>
      </w:r>
      <w:r>
        <w:t xml:space="preserve"> points)</w:t>
      </w:r>
    </w:p>
    <w:p w:rsidR="001112D6" w:rsidRDefault="001112D6" w:rsidP="001112D6">
      <w:pPr>
        <w:spacing w:after="360"/>
        <w:jc w:val="both"/>
      </w:pPr>
      <w:r>
        <w:rPr>
          <w:i/>
          <w:iCs/>
        </w:rPr>
        <w:t>Dans l'article « La monstruosité et le monstrueux », Canguilhem distingue soigneusement ces deux notions. Expliquez cette distinction et montrez l'évolution historique de ces concepts (du Moyen Âge au XIXe siècle)</w:t>
      </w:r>
      <w:r w:rsidR="00833BE3">
        <w:rPr>
          <w:i/>
          <w:iCs/>
        </w:rPr>
        <w:t>.</w:t>
      </w:r>
      <w:r>
        <w:rPr>
          <w:i/>
          <w:iCs/>
        </w:rPr>
        <w:t xml:space="preserve"> Que devient le </w:t>
      </w:r>
      <w:r w:rsidRPr="00B74C11">
        <w:rPr>
          <w:i/>
          <w:iCs/>
        </w:rPr>
        <w:t>monstrueux</w:t>
      </w:r>
      <w:r>
        <w:rPr>
          <w:i/>
          <w:iCs/>
        </w:rPr>
        <w:t xml:space="preserve"> dans ce processus</w:t>
      </w:r>
      <w:r w:rsidR="000F76BB">
        <w:rPr>
          <w:i/>
          <w:iCs/>
        </w:rPr>
        <w:t> ?</w:t>
      </w:r>
    </w:p>
    <w:p w:rsidR="001112D6" w:rsidRDefault="001112D6" w:rsidP="00846BA3">
      <w:pPr>
        <w:spacing w:after="360"/>
        <w:jc w:val="both"/>
      </w:pPr>
    </w:p>
    <w:p w:rsidR="00A82D88" w:rsidRDefault="00A82D88">
      <w:pPr>
        <w:pStyle w:val="Titre1"/>
        <w:spacing w:before="360"/>
      </w:pPr>
    </w:p>
    <w:p w:rsidR="00E93967" w:rsidRDefault="00E93967">
      <w:pPr>
        <w:pStyle w:val="Titre1"/>
        <w:spacing w:before="360"/>
      </w:pPr>
    </w:p>
    <w:p w:rsidR="0092471F" w:rsidRDefault="00604FCA">
      <w:pPr>
        <w:pStyle w:val="Titre1"/>
        <w:spacing w:before="360"/>
      </w:pPr>
      <w:r>
        <w:lastRenderedPageBreak/>
        <w:t>Partie II – Explication de texte (1</w:t>
      </w:r>
      <w:r w:rsidR="00B1765D">
        <w:t>0</w:t>
      </w:r>
      <w:r>
        <w:t xml:space="preserve"> points</w:t>
      </w:r>
      <w:r w:rsidR="00200436">
        <w:t>, 1h</w:t>
      </w:r>
      <w:r>
        <w:t>)</w:t>
      </w:r>
    </w:p>
    <w:p w:rsidR="0092471F" w:rsidRDefault="00604FCA">
      <w:pPr>
        <w:spacing w:after="180"/>
      </w:pPr>
      <w:r>
        <w:rPr>
          <w:i/>
          <w:iCs/>
        </w:rPr>
        <w:t>Expliquez et commentez le texte suivant extrait de l'article « Le vivant et son milieu » :</w:t>
      </w:r>
    </w:p>
    <w:p w:rsidR="0092471F" w:rsidRDefault="00604FCA" w:rsidP="00337140">
      <w:pPr>
        <w:pBdr>
          <w:top w:val="none" w:sz="6" w:space="0" w:color="000000"/>
          <w:left w:val="none" w:sz="6" w:space="0" w:color="000000"/>
          <w:bottom w:val="none" w:sz="6" w:space="0" w:color="000000"/>
          <w:right w:val="none" w:sz="6" w:space="0" w:color="000000"/>
        </w:pBdr>
        <w:spacing w:before="240" w:after="240"/>
        <w:ind w:left="360" w:right="360"/>
        <w:jc w:val="both"/>
      </w:pPr>
      <w:r>
        <w:t xml:space="preserve">« Étudier un vivant dans des conditions expérimentalement construites, c'est lui faire un milieu, lui imposer un milieu. Or, le propre du vivant, c'est de se faire son milieu, de se composer son milieu. […] Entre le vivant et le milieu, le rapport s'établit comme un débat […] où le vivant apporte ses normes propres d'appréciation des situations, où il domine le milieu, et se l'accommode. Ce rapport ne consiste pas essentiellement, comme on pourrait le croire, en une lutte, en une opposition. Cela concerne l'état pathologique. </w:t>
      </w:r>
      <w:r w:rsidR="008B064A" w:rsidRPr="008B064A">
        <w:t> Une vie qui s'affirme contre, c'est une vie déjà menacée. Les mouvements de force, comme par exemple les réactions musculaires d'extension, traduisent la domination de l'extérieur sur l'organisme. Une vie saine, une vie confiante dans son existence, dans ses valeurs, c'est une vie en flexion, une vie en souplesse, presque en douceur.</w:t>
      </w:r>
      <w:r w:rsidR="00337140">
        <w:t xml:space="preserve"> […] </w:t>
      </w:r>
      <w:r w:rsidR="00337140" w:rsidRPr="00337140">
        <w:t>La situation du vivant commandé du dehors par le milieu c'est ce que Goldstein tient pour le type même de la situation catastrophique. C'est la situation du vivant en laboratoire.</w:t>
      </w:r>
      <w:r>
        <w:t xml:space="preserve"> »</w:t>
      </w:r>
    </w:p>
    <w:p w:rsidR="0092471F" w:rsidRDefault="00604FCA">
      <w:pPr>
        <w:spacing w:before="240" w:after="180"/>
      </w:pPr>
      <w:r>
        <w:rPr>
          <w:i/>
          <w:iCs/>
        </w:rPr>
        <w:t>Dans votre explication, vous devrez :</w:t>
      </w:r>
    </w:p>
    <w:p w:rsidR="0092471F" w:rsidRDefault="00604FCA">
      <w:pPr>
        <w:spacing w:after="80"/>
      </w:pPr>
      <w:r>
        <w:t>1. Dégager la thèse principale de l'extrait</w:t>
      </w:r>
      <w:r w:rsidR="00871979">
        <w:t> ;</w:t>
      </w:r>
    </w:p>
    <w:p w:rsidR="0092471F" w:rsidRDefault="00604FCA">
      <w:pPr>
        <w:spacing w:after="80"/>
      </w:pPr>
      <w:r>
        <w:t>2. Expliquer ce que signifie « se faire son milieu » pour un vivant</w:t>
      </w:r>
      <w:r w:rsidR="00871979">
        <w:t> ;</w:t>
      </w:r>
    </w:p>
    <w:p w:rsidR="0092471F" w:rsidRDefault="00737733">
      <w:pPr>
        <w:spacing w:after="360"/>
      </w:pPr>
      <w:r>
        <w:t>3</w:t>
      </w:r>
      <w:r w:rsidR="00604FCA">
        <w:t>. Montrer en quoi ce texte s'oppose aux conceptions mécanistes et déterministes du rapport organisme/milieu</w:t>
      </w:r>
      <w:r w:rsidR="00871979">
        <w:t>.</w:t>
      </w:r>
    </w:p>
    <w:p w:rsidR="0092471F" w:rsidRDefault="0092471F" w:rsidP="00871979"/>
    <w:p w:rsidR="00237838" w:rsidRDefault="00237838" w:rsidP="00871979"/>
    <w:p w:rsidR="00237838" w:rsidRDefault="00237838" w:rsidP="00871979"/>
    <w:p w:rsidR="00237838" w:rsidRDefault="00237838" w:rsidP="00871979"/>
    <w:p w:rsidR="00237838" w:rsidRDefault="00237838" w:rsidP="00871979"/>
    <w:p w:rsidR="00237838" w:rsidRDefault="00237838" w:rsidP="00871979"/>
    <w:p w:rsidR="00237838" w:rsidRDefault="00237838" w:rsidP="00871979"/>
    <w:p w:rsidR="00237838" w:rsidRDefault="00237838" w:rsidP="00871979"/>
    <w:p w:rsidR="00237838" w:rsidRDefault="00237838" w:rsidP="00871979"/>
    <w:p w:rsidR="00237838" w:rsidRDefault="00237838" w:rsidP="00871979"/>
    <w:p w:rsidR="00237838" w:rsidRDefault="00237838" w:rsidP="00871979"/>
    <w:p w:rsidR="00237838" w:rsidRDefault="00237838" w:rsidP="00871979"/>
    <w:p w:rsidR="00237838" w:rsidRDefault="00237838" w:rsidP="00871979"/>
    <w:p w:rsidR="007E0E9D" w:rsidRDefault="007E0E9D" w:rsidP="00871979"/>
    <w:p w:rsidR="007E0E9D" w:rsidRDefault="007E0E9D" w:rsidP="00871979"/>
    <w:p w:rsidR="007E0E9D" w:rsidRDefault="007E0E9D" w:rsidP="00871979"/>
    <w:p w:rsidR="00237838" w:rsidRDefault="00237838" w:rsidP="00871979"/>
    <w:p w:rsidR="00237838" w:rsidRDefault="00237838" w:rsidP="00871979"/>
    <w:p w:rsidR="00237838" w:rsidRDefault="00237838" w:rsidP="00871979"/>
    <w:p w:rsidR="00237838" w:rsidRDefault="00237838" w:rsidP="00871979"/>
    <w:p w:rsidR="00237838" w:rsidRDefault="00237838" w:rsidP="00871979">
      <w:pPr>
        <w:rPr>
          <w:b/>
          <w:bCs/>
        </w:rPr>
      </w:pPr>
      <w:r w:rsidRPr="00237838">
        <w:rPr>
          <w:b/>
          <w:bCs/>
        </w:rPr>
        <w:lastRenderedPageBreak/>
        <w:t>Corrigé</w:t>
      </w:r>
    </w:p>
    <w:p w:rsidR="00237838" w:rsidRDefault="00237838" w:rsidP="00871979">
      <w:pPr>
        <w:rPr>
          <w:b/>
          <w:bCs/>
        </w:rPr>
      </w:pPr>
    </w:p>
    <w:p w:rsidR="00237838" w:rsidRPr="00237838" w:rsidRDefault="00237838" w:rsidP="00237838">
      <w:pPr>
        <w:rPr>
          <w:b/>
          <w:bCs/>
        </w:rPr>
      </w:pPr>
      <w:r w:rsidRPr="00237838">
        <w:rPr>
          <w:b/>
          <w:bCs/>
        </w:rPr>
        <w:t>PARTIE I – QUESTIONS DE CONNAISSANCE DU COURS (10 points)</w:t>
      </w:r>
    </w:p>
    <w:p w:rsidR="00237838" w:rsidRDefault="00237838" w:rsidP="00237838"/>
    <w:p w:rsidR="00237838" w:rsidRPr="00237838" w:rsidRDefault="00237838" w:rsidP="00237838">
      <w:pPr>
        <w:rPr>
          <w:b/>
          <w:bCs/>
        </w:rPr>
      </w:pPr>
      <w:r w:rsidRPr="00237838">
        <w:rPr>
          <w:b/>
          <w:bCs/>
        </w:rPr>
        <w:t>Question 1 (2</w:t>
      </w:r>
      <w:r w:rsidR="002946EA">
        <w:rPr>
          <w:b/>
          <w:bCs/>
        </w:rPr>
        <w:t>,5</w:t>
      </w:r>
      <w:r w:rsidRPr="00237838">
        <w:rPr>
          <w:b/>
          <w:bCs/>
        </w:rPr>
        <w:t xml:space="preserve"> points) : La critique de la position de surplomb</w:t>
      </w:r>
    </w:p>
    <w:p w:rsidR="00237838" w:rsidRDefault="00237838" w:rsidP="00237838"/>
    <w:p w:rsidR="00237838" w:rsidRDefault="00237838" w:rsidP="00237838">
      <w:pPr>
        <w:jc w:val="both"/>
      </w:pPr>
      <w:r w:rsidRPr="00237838">
        <w:t>Canguilhem critique l'attitude des scientifiques qui prétendent juger la vie depuis une position extérieure et supérieure. Cette prétention repose sur une illusion : croire que la pensée scientifique s'est extraite de la vie pour l'observer objectivement.</w:t>
      </w:r>
    </w:p>
    <w:p w:rsidR="000D7B49" w:rsidRPr="00237838" w:rsidRDefault="000D7B49" w:rsidP="00237838">
      <w:pPr>
        <w:jc w:val="both"/>
      </w:pPr>
    </w:p>
    <w:p w:rsidR="00237838" w:rsidRPr="00237838" w:rsidRDefault="00237838" w:rsidP="00237838">
      <w:pPr>
        <w:jc w:val="both"/>
      </w:pPr>
      <w:r w:rsidRPr="00237838">
        <w:t>Trois arguments principaux (p. 13-14) :</w:t>
      </w:r>
    </w:p>
    <w:p w:rsidR="00237838" w:rsidRPr="00237838" w:rsidRDefault="00237838" w:rsidP="00237838">
      <w:pPr>
        <w:numPr>
          <w:ilvl w:val="0"/>
          <w:numId w:val="2"/>
        </w:numPr>
        <w:jc w:val="both"/>
      </w:pPr>
      <w:r w:rsidRPr="00237838">
        <w:t>Argument de l'anthropocentrisme injustifié : Nous méprisons les animaux parce qu'ils n'ont pas la raison, mais c'est comme reprocher à une montagne de ne pas savoir courir. Nous plaquons abusivement nos catégories humaines sur le vivant et posons notre intelligence comme norme universelle. Or, un humain ne sait pas faire une toile d'araignée – pour qui se prend-il ?</w:t>
      </w:r>
    </w:p>
    <w:p w:rsidR="00237838" w:rsidRPr="00237838" w:rsidRDefault="00237838" w:rsidP="00237838">
      <w:pPr>
        <w:numPr>
          <w:ilvl w:val="0"/>
          <w:numId w:val="2"/>
        </w:numPr>
        <w:jc w:val="both"/>
      </w:pPr>
      <w:r w:rsidRPr="00237838">
        <w:t>Argument de la dépendance au besoin : La pensée humaine n'est pas aussi indépendante qu'elle le croit. Elle subit les « sommations du besoin » et les « pressions du milieu ». Nous ne créons des outils que pour pallier des besoins identifiés. Notre raison reste donc inscrite dans la vie et ses nécessités.</w:t>
      </w:r>
    </w:p>
    <w:p w:rsidR="00237838" w:rsidRPr="00237838" w:rsidRDefault="00237838" w:rsidP="00237838">
      <w:pPr>
        <w:numPr>
          <w:ilvl w:val="0"/>
          <w:numId w:val="2"/>
        </w:numPr>
        <w:jc w:val="both"/>
      </w:pPr>
      <w:r w:rsidRPr="00237838">
        <w:t>Argument comparatif avec la religion et l'art : La religion et l'art, tout aussi représentatifs de la vie humaine, n'ont jamais l'idée de déprécier la vie. Contrairement à la science qui se forge l'idée d'un « règne séparé » de l'esprit (Descartes), elles indiquent à l'homme « la voie d'un accord avec le monde ».</w:t>
      </w:r>
    </w:p>
    <w:p w:rsidR="00237838" w:rsidRPr="00237838" w:rsidRDefault="00237838" w:rsidP="00237838">
      <w:pPr>
        <w:jc w:val="both"/>
      </w:pPr>
      <w:r w:rsidRPr="00237838">
        <w:t>Conclusion attendue : La science doit reconnaître qu'elle ne peut juger la vie car elle serait juge et partie. Elle est elle-même une « entreprise de la vie ».</w:t>
      </w:r>
    </w:p>
    <w:p w:rsidR="00237838" w:rsidRDefault="00237838" w:rsidP="00237838">
      <w:pPr>
        <w:jc w:val="both"/>
      </w:pPr>
    </w:p>
    <w:p w:rsidR="00237838" w:rsidRPr="006B7A65" w:rsidRDefault="00237838" w:rsidP="00237838">
      <w:pPr>
        <w:jc w:val="both"/>
        <w:rPr>
          <w:b/>
          <w:bCs/>
        </w:rPr>
      </w:pPr>
      <w:r w:rsidRPr="006B7A65">
        <w:rPr>
          <w:b/>
          <w:bCs/>
        </w:rPr>
        <w:t>Question 2 (2</w:t>
      </w:r>
      <w:r w:rsidR="00DA377B" w:rsidRPr="006B7A65">
        <w:rPr>
          <w:b/>
          <w:bCs/>
        </w:rPr>
        <w:t>,5</w:t>
      </w:r>
      <w:r w:rsidRPr="006B7A65">
        <w:rPr>
          <w:b/>
          <w:bCs/>
        </w:rPr>
        <w:t xml:space="preserve"> points) : Umwelt vs Umgebung</w:t>
      </w:r>
    </w:p>
    <w:p w:rsidR="00237838" w:rsidRPr="006B7A65" w:rsidRDefault="00237838" w:rsidP="00237838">
      <w:pPr>
        <w:jc w:val="both"/>
      </w:pPr>
    </w:p>
    <w:p w:rsidR="00237838" w:rsidRPr="00237838" w:rsidRDefault="00237838" w:rsidP="00237838">
      <w:pPr>
        <w:jc w:val="both"/>
      </w:pPr>
      <w:r w:rsidRPr="00237838">
        <w:t>Distinction conceptuelle :</w:t>
      </w:r>
    </w:p>
    <w:p w:rsidR="00237838" w:rsidRPr="00237838" w:rsidRDefault="00237838" w:rsidP="00237838">
      <w:pPr>
        <w:numPr>
          <w:ilvl w:val="0"/>
          <w:numId w:val="3"/>
        </w:numPr>
        <w:jc w:val="both"/>
      </w:pPr>
      <w:proofErr w:type="spellStart"/>
      <w:r w:rsidRPr="00237838">
        <w:t>Umgebung</w:t>
      </w:r>
      <w:proofErr w:type="spellEnd"/>
      <w:r w:rsidRPr="00237838">
        <w:t xml:space="preserve"> (environnement) : Ensemble des conditions matérielles objectives qui forment les circonstances dans lesquelles un organisme vit. Facteurs biotiques et abiotiques extérieurs qui déterminent objectivement le comportement. C'est la perspective des « sciences de l'environnement ».</w:t>
      </w:r>
    </w:p>
    <w:p w:rsidR="00237838" w:rsidRPr="00237838" w:rsidRDefault="00237838" w:rsidP="00237838">
      <w:pPr>
        <w:numPr>
          <w:ilvl w:val="0"/>
          <w:numId w:val="3"/>
        </w:numPr>
        <w:jc w:val="both"/>
      </w:pPr>
      <w:proofErr w:type="spellStart"/>
      <w:r w:rsidRPr="00237838">
        <w:t>Umwelt</w:t>
      </w:r>
      <w:proofErr w:type="spellEnd"/>
      <w:r w:rsidRPr="00237838">
        <w:t xml:space="preserve"> (milieu) : Ambiance ressentie et perçue par un être vivant donné. Univers de sens où des éléments de la réalité matérielle (brin d'herbe, rocher, asticot, épervier) ont été marqués comme points de repères chargés de valeur – positive (aliment, proie, abri) ou négative (excrément, prédateur, zone exposée).</w:t>
      </w:r>
    </w:p>
    <w:p w:rsidR="00E77F9F" w:rsidRDefault="00E77F9F" w:rsidP="00237838">
      <w:pPr>
        <w:jc w:val="both"/>
      </w:pPr>
    </w:p>
    <w:p w:rsidR="00237838" w:rsidRDefault="00237838" w:rsidP="00237838">
      <w:pPr>
        <w:jc w:val="both"/>
      </w:pPr>
      <w:r w:rsidRPr="00237838">
        <w:t xml:space="preserve">Distinction essentielle : Le milieu n'est pas mental mais tout aussi externe et matériel que l'environnement. Cependant, c'est une partie </w:t>
      </w:r>
      <w:r w:rsidRPr="00237838">
        <w:rPr>
          <w:i/>
          <w:iCs/>
        </w:rPr>
        <w:t>choisie</w:t>
      </w:r>
      <w:r w:rsidRPr="00237838">
        <w:t xml:space="preserve"> par l'individu dans l'environnement. Le même marécage peut être un environnement ET un milieu, mais considéré selon deux points de vue différents : détermination objective (causale) vs orientation subjective (finale).</w:t>
      </w:r>
    </w:p>
    <w:p w:rsidR="00E77F9F" w:rsidRPr="00237838" w:rsidRDefault="00E77F9F" w:rsidP="00237838">
      <w:pPr>
        <w:jc w:val="both"/>
      </w:pPr>
    </w:p>
    <w:p w:rsidR="00237838" w:rsidRPr="00237838" w:rsidRDefault="00237838" w:rsidP="00237838">
      <w:pPr>
        <w:jc w:val="both"/>
      </w:pPr>
      <w:r w:rsidRPr="00237838">
        <w:t>Importance pour la critique du déterminisme :</w:t>
      </w:r>
    </w:p>
    <w:p w:rsidR="00237838" w:rsidRPr="00237838" w:rsidRDefault="00237838" w:rsidP="00237838">
      <w:pPr>
        <w:jc w:val="both"/>
      </w:pPr>
      <w:r w:rsidRPr="00237838">
        <w:lastRenderedPageBreak/>
        <w:t>Cette distinction permet de montrer que l'être vivant n'est pas le simple produit passif de son environnement. Il opère un « prélèvement électif » dans l'</w:t>
      </w:r>
      <w:proofErr w:type="spellStart"/>
      <w:r w:rsidRPr="00237838">
        <w:t>Umgebung</w:t>
      </w:r>
      <w:proofErr w:type="spellEnd"/>
      <w:r w:rsidRPr="00237838">
        <w:t xml:space="preserve"> en fonction de ses valeurs vitales. Le vivant est donc un « sujet de valeurs vitales », un centre d'initiative qui structure son propre rapport au monde. Cela s'oppose radicalement aux conceptions déterministes qui réduisent le vivant à une somme de déterminations externes.</w:t>
      </w:r>
    </w:p>
    <w:p w:rsidR="00237838" w:rsidRPr="00237838" w:rsidRDefault="00237838" w:rsidP="00237838">
      <w:pPr>
        <w:jc w:val="both"/>
      </w:pPr>
      <w:r w:rsidRPr="00237838">
        <w:t xml:space="preserve">Exemple de la tique (p. 186-187) : La tique peut rester </w:t>
      </w:r>
      <w:proofErr w:type="gramStart"/>
      <w:r w:rsidRPr="00237838">
        <w:t>plusieurs années insensible</w:t>
      </w:r>
      <w:proofErr w:type="gramEnd"/>
      <w:r w:rsidRPr="00237838">
        <w:t xml:space="preserve"> à toutes les excitations sauf trois : l'odeur de beurre rance, la température du sang, et le sens tactile pour trouver une zone sans poils. Elle </w:t>
      </w:r>
      <w:r w:rsidRPr="00237838">
        <w:rPr>
          <w:i/>
          <w:iCs/>
        </w:rPr>
        <w:t>décide</w:t>
      </w:r>
      <w:r w:rsidRPr="00237838">
        <w:t xml:space="preserve"> de ce qui vaut pour elle.</w:t>
      </w:r>
    </w:p>
    <w:p w:rsidR="00237838" w:rsidRDefault="00237838" w:rsidP="00237838">
      <w:pPr>
        <w:jc w:val="both"/>
      </w:pPr>
    </w:p>
    <w:p w:rsidR="00237838" w:rsidRPr="00237838" w:rsidRDefault="00237838" w:rsidP="00237838">
      <w:pPr>
        <w:jc w:val="both"/>
        <w:rPr>
          <w:b/>
          <w:bCs/>
        </w:rPr>
      </w:pPr>
      <w:r w:rsidRPr="00237838">
        <w:rPr>
          <w:b/>
          <w:bCs/>
        </w:rPr>
        <w:t>Question 3 (2</w:t>
      </w:r>
      <w:r w:rsidR="00647765">
        <w:rPr>
          <w:b/>
          <w:bCs/>
        </w:rPr>
        <w:t>,5</w:t>
      </w:r>
      <w:r w:rsidRPr="00237838">
        <w:rPr>
          <w:b/>
          <w:bCs/>
        </w:rPr>
        <w:t xml:space="preserve"> points) : L'animal-machine et la domination</w:t>
      </w:r>
    </w:p>
    <w:p w:rsidR="00237838" w:rsidRDefault="00237838" w:rsidP="00237838">
      <w:pPr>
        <w:jc w:val="both"/>
      </w:pPr>
    </w:p>
    <w:p w:rsidR="00237838" w:rsidRPr="00237838" w:rsidRDefault="00237838" w:rsidP="00237838">
      <w:pPr>
        <w:jc w:val="both"/>
      </w:pPr>
      <w:r w:rsidRPr="00237838">
        <w:t>La théorie cartésienne :</w:t>
      </w:r>
    </w:p>
    <w:p w:rsidR="00237838" w:rsidRPr="00237838" w:rsidRDefault="00237838" w:rsidP="00437DEB">
      <w:pPr>
        <w:jc w:val="both"/>
      </w:pPr>
      <w:r w:rsidRPr="00237838">
        <w:t>Pour Descartes, l'animal-machine est une conséquence logique du cogito. Si seule la pensée définit l'essence de l'homme (« je pense donc je suis »), alors tout ce qui ne pense pas relève mécaniquement de l'étendue. Les animaux sont donc des machines, dénués d'âme.</w:t>
      </w:r>
      <w:r w:rsidR="00437DEB">
        <w:t xml:space="preserve"> </w:t>
      </w:r>
      <w:r w:rsidRPr="00237838">
        <w:t>Deux critères empiriques distinguent l'homme : le langage et l'invention (capacité de liaison créatrice entre idées). Les animaux en sont dépourvus, donc ils n'ont pas d'âme – mais ils conservent une « vie » physicaliste (chaleur du cœur) et une sensibilité mécanique (disposition des organes).</w:t>
      </w:r>
    </w:p>
    <w:p w:rsidR="00C20B0F" w:rsidRDefault="00C20B0F" w:rsidP="00237838">
      <w:pPr>
        <w:jc w:val="both"/>
      </w:pPr>
    </w:p>
    <w:p w:rsidR="00237838" w:rsidRPr="00237838" w:rsidRDefault="00237838" w:rsidP="00237838">
      <w:pPr>
        <w:jc w:val="both"/>
      </w:pPr>
      <w:r w:rsidRPr="00237838">
        <w:t>Le projet de domination (p. 141-143) :</w:t>
      </w:r>
    </w:p>
    <w:p w:rsidR="00237838" w:rsidRPr="00237838" w:rsidRDefault="00237838" w:rsidP="00237838">
      <w:pPr>
        <w:jc w:val="both"/>
      </w:pPr>
      <w:r w:rsidRPr="00237838">
        <w:t>Cette théorie sert explicitement un projet de domination de la nature. Comme l'écrit Canguilhem, elle « absout du soupçon de faute » l'utilisation des animaux (lettre de Descartes à Morus). Structure comparable à l'esclavage aristotélicien : on exclut de la rationalité pour justifier l'instrumentalisation.</w:t>
      </w:r>
    </w:p>
    <w:p w:rsidR="00237838" w:rsidRPr="00237838" w:rsidRDefault="00237838" w:rsidP="00237838">
      <w:pPr>
        <w:jc w:val="both"/>
      </w:pPr>
      <w:r w:rsidRPr="00237838">
        <w:t>« L'homme ne peut se rendre maître et possesseur de la nature que s'il nie toute finalité naturelle et s'il peut tenir toute la nature, y compris la nature apparemment animée, hors lui-même, pour un moyen. »</w:t>
      </w:r>
    </w:p>
    <w:p w:rsidR="00C20B0F" w:rsidRDefault="00C20B0F" w:rsidP="00237838">
      <w:pPr>
        <w:jc w:val="both"/>
      </w:pPr>
    </w:p>
    <w:p w:rsidR="00237838" w:rsidRPr="00237838" w:rsidRDefault="00237838" w:rsidP="00237838">
      <w:pPr>
        <w:jc w:val="both"/>
      </w:pPr>
      <w:r w:rsidRPr="00237838">
        <w:t>Le paradoxe du mécanisme et de la finalité :</w:t>
      </w:r>
    </w:p>
    <w:p w:rsidR="00237838" w:rsidRPr="00237838" w:rsidRDefault="00237838" w:rsidP="00237838">
      <w:pPr>
        <w:jc w:val="both"/>
      </w:pPr>
      <w:r w:rsidRPr="00237838">
        <w:t>Descartes prétend évacuer la finalité en substituant l'explication mécanique à l'explication finaliste. Mais il n'y parvient pas : la machine elle-même est faite « par l'homme et pour l'homme ». Le mécanisme déplace la finalité mais ne la supprime pas : « Le mécanisme peut tout expliquer si l'on se donne des machines, mais le mécanisme ne peut pas rendre compte de la construction des machines » (p. 147).</w:t>
      </w:r>
    </w:p>
    <w:p w:rsidR="00723099" w:rsidRDefault="00723099" w:rsidP="00237838">
      <w:pPr>
        <w:jc w:val="both"/>
      </w:pPr>
    </w:p>
    <w:p w:rsidR="00185F04" w:rsidRDefault="00185F04" w:rsidP="00237838">
      <w:pPr>
        <w:jc w:val="both"/>
      </w:pPr>
    </w:p>
    <w:p w:rsidR="00237838" w:rsidRPr="00185F04" w:rsidRDefault="00237838" w:rsidP="00237838">
      <w:pPr>
        <w:jc w:val="both"/>
        <w:rPr>
          <w:b/>
          <w:bCs/>
        </w:rPr>
      </w:pPr>
      <w:r w:rsidRPr="00185F04">
        <w:rPr>
          <w:b/>
          <w:bCs/>
        </w:rPr>
        <w:t xml:space="preserve">Question </w:t>
      </w:r>
      <w:r w:rsidR="0075096B">
        <w:rPr>
          <w:b/>
          <w:bCs/>
        </w:rPr>
        <w:t>4</w:t>
      </w:r>
      <w:r w:rsidRPr="00185F04">
        <w:rPr>
          <w:b/>
          <w:bCs/>
        </w:rPr>
        <w:t xml:space="preserve"> (2</w:t>
      </w:r>
      <w:r w:rsidR="0075096B">
        <w:rPr>
          <w:b/>
          <w:bCs/>
        </w:rPr>
        <w:t>,5</w:t>
      </w:r>
      <w:r w:rsidRPr="00185F04">
        <w:rPr>
          <w:b/>
          <w:bCs/>
        </w:rPr>
        <w:t xml:space="preserve"> points) : Monstruosité et monstrueux</w:t>
      </w:r>
    </w:p>
    <w:p w:rsidR="00185F04" w:rsidRDefault="00185F04" w:rsidP="00237838">
      <w:pPr>
        <w:jc w:val="both"/>
      </w:pPr>
    </w:p>
    <w:p w:rsidR="00237838" w:rsidRPr="00237838" w:rsidRDefault="00237838" w:rsidP="00237838">
      <w:pPr>
        <w:jc w:val="both"/>
      </w:pPr>
      <w:r w:rsidRPr="00237838">
        <w:t>La distinction conceptuelle :</w:t>
      </w:r>
    </w:p>
    <w:p w:rsidR="00237838" w:rsidRPr="00237838" w:rsidRDefault="00237838" w:rsidP="00237838">
      <w:pPr>
        <w:numPr>
          <w:ilvl w:val="0"/>
          <w:numId w:val="5"/>
        </w:numPr>
        <w:jc w:val="both"/>
      </w:pPr>
      <w:r w:rsidRPr="00237838">
        <w:t>Monstruosité : Concept médical/biologique désignant une malformation anatomique objectivement constatée. Anomalie morphologique relevant d'un jugement scientifique. Domaine de la tératologie.</w:t>
      </w:r>
    </w:p>
    <w:p w:rsidR="00237838" w:rsidRPr="00237838" w:rsidRDefault="00237838" w:rsidP="00237838">
      <w:pPr>
        <w:numPr>
          <w:ilvl w:val="0"/>
          <w:numId w:val="5"/>
        </w:numPr>
        <w:jc w:val="both"/>
      </w:pPr>
      <w:r w:rsidRPr="00237838">
        <w:t>Monstrueux : Catégorie morale et imaginaire désignant ce qui est contre nature, moralement répréhensible, ce qui dépasse l'ordre de la raison. Relève d'un jugement de valeur péjoratif et de la prolifération de l'imagination.</w:t>
      </w:r>
    </w:p>
    <w:p w:rsidR="00185F04" w:rsidRDefault="00185F04" w:rsidP="00237838">
      <w:pPr>
        <w:jc w:val="both"/>
      </w:pPr>
    </w:p>
    <w:p w:rsidR="00237838" w:rsidRPr="00237838" w:rsidRDefault="00237838" w:rsidP="00237838">
      <w:pPr>
        <w:jc w:val="both"/>
      </w:pPr>
      <w:r w:rsidRPr="00237838">
        <w:t>Évolution historique :</w:t>
      </w:r>
    </w:p>
    <w:p w:rsidR="00237838" w:rsidRPr="00237838" w:rsidRDefault="00237838" w:rsidP="00237838">
      <w:pPr>
        <w:jc w:val="both"/>
      </w:pPr>
      <w:r w:rsidRPr="00237838">
        <w:t>Du Moyen Âge à la Renaissance (p. 223-227) : Le monstrueux est identifié au diabolique. Les monstruosités biologiques sont perçues comme l'effet du monstrueux – conséquences d'actes contre-nature (accouplements inter-espèces) ou d'influences démoniaques. Théorie de l'imagination créatrice (une femme enceinte marquée par une image démoniaque peut engendrer un monstre).</w:t>
      </w:r>
    </w:p>
    <w:p w:rsidR="00237838" w:rsidRDefault="00237838" w:rsidP="00237838">
      <w:pPr>
        <w:jc w:val="both"/>
      </w:pPr>
      <w:r w:rsidRPr="00237838">
        <w:t>La tératologie est alors une « célébration du monstrueux » : accumulation de figures dans les cathédrales, bestiaires, estampes. Monstruosité et monstrueux sont intimement liés.</w:t>
      </w:r>
    </w:p>
    <w:p w:rsidR="00185F04" w:rsidRPr="00237838" w:rsidRDefault="00185F04" w:rsidP="00237838">
      <w:pPr>
        <w:jc w:val="both"/>
      </w:pPr>
    </w:p>
    <w:p w:rsidR="00237838" w:rsidRPr="00237838" w:rsidRDefault="00237838" w:rsidP="00237838">
      <w:pPr>
        <w:jc w:val="both"/>
      </w:pPr>
      <w:r w:rsidRPr="00237838">
        <w:t>XIXe siècle (p. 227-234) : La rationalisation scientifique</w:t>
      </w:r>
    </w:p>
    <w:p w:rsidR="00237838" w:rsidRPr="00237838" w:rsidRDefault="00237838" w:rsidP="00237838">
      <w:pPr>
        <w:jc w:val="both"/>
      </w:pPr>
      <w:r w:rsidRPr="00237838">
        <w:t>Le monstrueux est rationalisé et devient un concept biologique. Isidore Geoffroy Saint-Hilaire classifie les monstruosités, les ramène à des arrêts de développement embryonnaire. La monstruosité est réduite à l'anomalie.</w:t>
      </w:r>
    </w:p>
    <w:p w:rsidR="00237838" w:rsidRPr="00237838" w:rsidRDefault="00237838" w:rsidP="00237838">
      <w:pPr>
        <w:jc w:val="both"/>
      </w:pPr>
      <w:r w:rsidRPr="00237838">
        <w:t xml:space="preserve">Camille </w:t>
      </w:r>
      <w:proofErr w:type="spellStart"/>
      <w:r w:rsidRPr="00237838">
        <w:t>Dareste</w:t>
      </w:r>
      <w:proofErr w:type="spellEnd"/>
      <w:r w:rsidRPr="00237838">
        <w:t xml:space="preserve"> fonde la tératologie expérimentale et produit artificiellement des monstruosités. Le monstrueux </w:t>
      </w:r>
      <w:r w:rsidRPr="00237838">
        <w:rPr>
          <w:i/>
          <w:iCs/>
        </w:rPr>
        <w:t>paraît</w:t>
      </w:r>
      <w:r w:rsidRPr="00237838">
        <w:t xml:space="preserve"> éradiqué.</w:t>
      </w:r>
    </w:p>
    <w:p w:rsidR="00237838" w:rsidRPr="00237838" w:rsidRDefault="00237838" w:rsidP="00237838">
      <w:pPr>
        <w:jc w:val="both"/>
      </w:pPr>
      <w:r w:rsidRPr="00237838">
        <w:t>Le devenir du monstrueux :</w:t>
      </w:r>
    </w:p>
    <w:p w:rsidR="00237838" w:rsidRPr="00237838" w:rsidRDefault="00237838" w:rsidP="00237838">
      <w:pPr>
        <w:jc w:val="both"/>
      </w:pPr>
      <w:r w:rsidRPr="00237838">
        <w:t>Paradoxalement, le monstrueux ne disparaît pas complètement :</w:t>
      </w:r>
    </w:p>
    <w:p w:rsidR="00237838" w:rsidRPr="00237838" w:rsidRDefault="00237838" w:rsidP="00237838">
      <w:pPr>
        <w:numPr>
          <w:ilvl w:val="0"/>
          <w:numId w:val="6"/>
        </w:numPr>
        <w:jc w:val="both"/>
      </w:pPr>
      <w:r w:rsidRPr="00237838">
        <w:t>Refuge dans l'art : Il se maintient dans la littérature (Baudelaire, Rimbaud, Lautréamont).</w:t>
      </w:r>
    </w:p>
    <w:p w:rsidR="00237838" w:rsidRPr="00237838" w:rsidRDefault="00237838" w:rsidP="00237838">
      <w:pPr>
        <w:numPr>
          <w:ilvl w:val="0"/>
          <w:numId w:val="6"/>
        </w:numPr>
        <w:jc w:val="both"/>
      </w:pPr>
      <w:r w:rsidRPr="00237838">
        <w:t>R</w:t>
      </w:r>
      <w:r w:rsidR="00F66EFB">
        <w:t>isque de r</w:t>
      </w:r>
      <w:r w:rsidRPr="00237838">
        <w:t>éapparition dans la science elle-même : La tératologie expérimentale, en voulant « créer son objet », se laisse tenter par des expérimentations scabreuses (Réaumur rêve de « poulets vêtus de poils »). Le risque du monstrueux réapparaît dans le projet scientifique lui-même (p. 233).</w:t>
      </w:r>
    </w:p>
    <w:p w:rsidR="00237838" w:rsidRPr="00237838" w:rsidRDefault="00237838" w:rsidP="00237838">
      <w:pPr>
        <w:numPr>
          <w:ilvl w:val="0"/>
          <w:numId w:val="6"/>
        </w:numPr>
        <w:jc w:val="both"/>
      </w:pPr>
      <w:r w:rsidRPr="00237838">
        <w:t>Distinction maintenue : Canguilhem conclut qu'il faut maintenir la dualité. La vie biologique est « pauvre en monstres » (contrainte par les lois embryologiques), tandis que l'imagination est « inépuisable » (p. 235-236).</w:t>
      </w:r>
    </w:p>
    <w:p w:rsidR="00A728D6" w:rsidRDefault="00A728D6" w:rsidP="00237838">
      <w:pPr>
        <w:jc w:val="both"/>
      </w:pPr>
    </w:p>
    <w:p w:rsidR="00237838" w:rsidRPr="00A728D6" w:rsidRDefault="00237838" w:rsidP="00237838">
      <w:pPr>
        <w:jc w:val="both"/>
        <w:rPr>
          <w:b/>
          <w:bCs/>
        </w:rPr>
      </w:pPr>
      <w:r w:rsidRPr="00A728D6">
        <w:rPr>
          <w:b/>
          <w:bCs/>
        </w:rPr>
        <w:t>PARTIE II – EXPLICATION DE TEXTE (10 points)</w:t>
      </w:r>
    </w:p>
    <w:p w:rsidR="00A728D6" w:rsidRPr="00237838" w:rsidRDefault="00A728D6" w:rsidP="00237838">
      <w:pPr>
        <w:jc w:val="both"/>
      </w:pPr>
    </w:p>
    <w:p w:rsidR="00237838" w:rsidRPr="00237838" w:rsidRDefault="00237838" w:rsidP="00237838">
      <w:pPr>
        <w:jc w:val="both"/>
      </w:pPr>
      <w:r w:rsidRPr="00237838">
        <w:t>1. Thèse principale</w:t>
      </w:r>
    </w:p>
    <w:p w:rsidR="00237838" w:rsidRPr="00237838" w:rsidRDefault="00237838" w:rsidP="00237838">
      <w:pPr>
        <w:jc w:val="both"/>
      </w:pPr>
      <w:r w:rsidRPr="00237838">
        <w:t>Le texte défend une thèse en deux volets :</w:t>
      </w:r>
    </w:p>
    <w:p w:rsidR="00237838" w:rsidRPr="00237838" w:rsidRDefault="00237838" w:rsidP="00237838">
      <w:pPr>
        <w:jc w:val="both"/>
      </w:pPr>
      <w:r w:rsidRPr="00237838">
        <w:t xml:space="preserve">a) Critique épistémologique : L'expérimentation scientifique traditionnelle </w:t>
      </w:r>
      <w:r w:rsidRPr="00237838">
        <w:rPr>
          <w:i/>
          <w:iCs/>
        </w:rPr>
        <w:t>impose</w:t>
      </w:r>
      <w:r w:rsidRPr="00237838">
        <w:t xml:space="preserve"> un milieu au vivant, alors que le propre du vivant est justement de </w:t>
      </w:r>
      <w:r w:rsidRPr="00237838">
        <w:rPr>
          <w:i/>
          <w:iCs/>
        </w:rPr>
        <w:t>se composer</w:t>
      </w:r>
      <w:r w:rsidRPr="00237838">
        <w:t xml:space="preserve"> son propre milieu. Il y a donc un décalage fondamental entre la méthode expérimentale classique et la nature même de son objet.</w:t>
      </w:r>
    </w:p>
    <w:p w:rsidR="00237838" w:rsidRPr="00237838" w:rsidRDefault="00237838" w:rsidP="00237838">
      <w:pPr>
        <w:jc w:val="both"/>
      </w:pPr>
      <w:r w:rsidRPr="00237838">
        <w:t>b) Thèse ontologique sur le vivant : Le vivant n'est pas un être passif déterminé par son environnement, mais un centre actif qui structure son rapport au monde selon ses propres normes. Le rapport vivant/milieu est un « débat » où le vivant « domine » et « accommode » le milieu à ses valeurs.</w:t>
      </w:r>
    </w:p>
    <w:p w:rsidR="00BB43DE" w:rsidRDefault="00BB43DE" w:rsidP="00237838">
      <w:pPr>
        <w:jc w:val="both"/>
      </w:pPr>
    </w:p>
    <w:p w:rsidR="00237838" w:rsidRPr="00237838" w:rsidRDefault="00237838" w:rsidP="00237838">
      <w:pPr>
        <w:jc w:val="both"/>
      </w:pPr>
      <w:r w:rsidRPr="00237838">
        <w:t>2. « Se faire son milieu » : signification</w:t>
      </w:r>
    </w:p>
    <w:p w:rsidR="00237838" w:rsidRPr="00237838" w:rsidRDefault="00237838" w:rsidP="00237838">
      <w:pPr>
        <w:jc w:val="both"/>
      </w:pPr>
      <w:r w:rsidRPr="00237838">
        <w:t>Distinction fondamentale : Il faut distinguer :</w:t>
      </w:r>
    </w:p>
    <w:p w:rsidR="00237838" w:rsidRPr="00237838" w:rsidRDefault="00237838" w:rsidP="00237838">
      <w:pPr>
        <w:numPr>
          <w:ilvl w:val="0"/>
          <w:numId w:val="7"/>
        </w:numPr>
        <w:jc w:val="both"/>
      </w:pPr>
      <w:r w:rsidRPr="00237838">
        <w:t xml:space="preserve">Être </w:t>
      </w:r>
      <w:r w:rsidRPr="00237838">
        <w:rPr>
          <w:i/>
          <w:iCs/>
        </w:rPr>
        <w:t>dans</w:t>
      </w:r>
      <w:r w:rsidRPr="00237838">
        <w:t xml:space="preserve"> un milieu (relation de contenant à contenu, passive)</w:t>
      </w:r>
    </w:p>
    <w:p w:rsidR="00237838" w:rsidRPr="00237838" w:rsidRDefault="00237838" w:rsidP="00237838">
      <w:pPr>
        <w:numPr>
          <w:ilvl w:val="0"/>
          <w:numId w:val="7"/>
        </w:numPr>
        <w:jc w:val="both"/>
      </w:pPr>
      <w:r w:rsidRPr="00237838">
        <w:rPr>
          <w:i/>
          <w:iCs/>
        </w:rPr>
        <w:t>Se faire</w:t>
      </w:r>
      <w:r w:rsidRPr="00237838">
        <w:t xml:space="preserve"> son milieu (activité normative, créatrice)</w:t>
      </w:r>
    </w:p>
    <w:p w:rsidR="00237838" w:rsidRPr="00237838" w:rsidRDefault="00237838" w:rsidP="00237838">
      <w:pPr>
        <w:jc w:val="both"/>
      </w:pPr>
      <w:r w:rsidRPr="00237838">
        <w:t>« Se faire son milieu » signifie trois choses :</w:t>
      </w:r>
    </w:p>
    <w:p w:rsidR="00237838" w:rsidRPr="00237838" w:rsidRDefault="00237838" w:rsidP="00237838">
      <w:pPr>
        <w:jc w:val="both"/>
      </w:pPr>
      <w:r w:rsidRPr="00237838">
        <w:lastRenderedPageBreak/>
        <w:t>a) Prélèvement électif : Le vivant opère une sélection dans « l'exubérance du milieu physique » (p. 185). Parmi l'infinité d'excitations possibles, il ne retient que celles qui ont « valeur et signification de signaux » pour lui. L'organisme ne remarque que ce qui l'intéresse en fonction de ses besoins vitaux.</w:t>
      </w:r>
    </w:p>
    <w:p w:rsidR="00237838" w:rsidRPr="00237838" w:rsidRDefault="00237838" w:rsidP="00237838">
      <w:pPr>
        <w:jc w:val="both"/>
      </w:pPr>
      <w:r w:rsidRPr="00237838">
        <w:t>b) Instauration de normes : Le vivant « apporte ses normes propres d'appréciation des situations ». Il évalue, hiérarchise, donne du sens aux éléments de son environnement. Certains deviennent des aliments (valeur positive), d'autres des dangers (valeur négative). C'est une activité normative : le vivant est « sujet de valeurs vitales ».</w:t>
      </w:r>
    </w:p>
    <w:p w:rsidR="00237838" w:rsidRPr="00237838" w:rsidRDefault="00237838" w:rsidP="00237838">
      <w:pPr>
        <w:jc w:val="both"/>
      </w:pPr>
      <w:r w:rsidRPr="00237838">
        <w:t xml:space="preserve">c) Organisation active du milieu : « Vivre, c'est rayonner, c'est organiser le milieu à partir d'un centre de référence » (p. 188). Le vivant structure l'espace autour de lui selon ses propres finalités. Il ne s'adapte pas passivement : il </w:t>
      </w:r>
      <w:r w:rsidRPr="00237838">
        <w:rPr>
          <w:i/>
          <w:iCs/>
        </w:rPr>
        <w:t>construit</w:t>
      </w:r>
      <w:r w:rsidRPr="00237838">
        <w:t xml:space="preserve"> son monde.</w:t>
      </w:r>
    </w:p>
    <w:p w:rsidR="00237838" w:rsidRPr="00237838" w:rsidRDefault="00237838" w:rsidP="00237838">
      <w:pPr>
        <w:jc w:val="both"/>
      </w:pPr>
      <w:r w:rsidRPr="00237838">
        <w:t>Conséquence épistémologique : L'expérimentation qui « fait un milieu » au vivant en laboratoire contredit cette nature active. Elle place l'organisme dans une « situation catastrophique » (Goldstein) où il est « commandé du dehors », ce qui n'est jamais le cas d'un vivant sain dans son milieu naturel.</w:t>
      </w:r>
    </w:p>
    <w:p w:rsidR="00D36C39" w:rsidRDefault="00D36C39" w:rsidP="00237838">
      <w:pPr>
        <w:jc w:val="both"/>
      </w:pPr>
    </w:p>
    <w:p w:rsidR="00237838" w:rsidRPr="00237838" w:rsidRDefault="00237838" w:rsidP="00237838">
      <w:pPr>
        <w:jc w:val="both"/>
      </w:pPr>
      <w:r w:rsidRPr="00237838">
        <w:t>3. Opposition aux conceptions mécanistes et déterministes</w:t>
      </w:r>
    </w:p>
    <w:p w:rsidR="00237838" w:rsidRPr="00237838" w:rsidRDefault="00237838" w:rsidP="00237838">
      <w:pPr>
        <w:jc w:val="both"/>
      </w:pPr>
      <w:r w:rsidRPr="00237838">
        <w:t>a) Contre le mécanisme réductionniste</w:t>
      </w:r>
    </w:p>
    <w:p w:rsidR="00237838" w:rsidRPr="00237838" w:rsidRDefault="00237838" w:rsidP="00237838">
      <w:pPr>
        <w:jc w:val="both"/>
      </w:pPr>
      <w:r w:rsidRPr="00237838">
        <w:t>Les conceptions mécanistes (héritées de Descartes) traitent le vivant comme une machine régie par des lois physico-chimiques, où chaque stimulus produit mécaniquement une réponse. L'organisme serait un système de réactions automatiques.</w:t>
      </w:r>
    </w:p>
    <w:p w:rsidR="00237838" w:rsidRPr="00237838" w:rsidRDefault="00237838" w:rsidP="00237838">
      <w:pPr>
        <w:jc w:val="both"/>
      </w:pPr>
      <w:r w:rsidRPr="00237838">
        <w:t>Canguilhem s'y oppose : Le texte insiste sur le fait que le vivant n'est pas un automate réagissant mécaniquement aux stimuli. Il « domine » et « s'accommode » le milieu, ce qui implique une spontanéité, une initiative propre. Les « réactions musculaires d'extension » (réflexes de force) sont précisément le signe d'une pathologie – la domination anormale de l'extérieur sur l'organisme.</w:t>
      </w:r>
    </w:p>
    <w:p w:rsidR="00985CAE" w:rsidRDefault="00985CAE" w:rsidP="00237838">
      <w:pPr>
        <w:jc w:val="both"/>
      </w:pPr>
    </w:p>
    <w:p w:rsidR="00237838" w:rsidRPr="00237838" w:rsidRDefault="00237838" w:rsidP="00237838">
      <w:pPr>
        <w:jc w:val="both"/>
      </w:pPr>
      <w:r w:rsidRPr="00237838">
        <w:t>b) Contre le déterminisme environnemental</w:t>
      </w:r>
    </w:p>
    <w:p w:rsidR="00237838" w:rsidRPr="00237838" w:rsidRDefault="00237838" w:rsidP="00237838">
      <w:pPr>
        <w:jc w:val="both"/>
      </w:pPr>
      <w:r w:rsidRPr="00237838">
        <w:t>Le déterminisme biologique (notamment le néo-lamarckisme du XIXe siècle) affirme que « le milieu se trouve investi de tout pouvoir à l'égard des individus » (p. 179-180). Le vivant ne serait que le produit de son milieu, déterminé de l'extérieur. Exemple de Louis Roule : « Les poissons ne mènent pas leur vie d'eux-mêmes, c'est la rivière qui la leur fait mener, ils sont des personnes sans personnalité » (p. 173).</w:t>
      </w:r>
    </w:p>
    <w:p w:rsidR="00237838" w:rsidRPr="00237838" w:rsidRDefault="00237838" w:rsidP="00237838">
      <w:pPr>
        <w:jc w:val="both"/>
      </w:pPr>
      <w:r w:rsidRPr="00237838">
        <w:t>Canguilhem renverse cette conception : Le texte affirme exactement l'inverse : c'est le vivant qui est le centre, et le milieu qui est « relatif à un vivant ». « Il n'y a pas de milieu en soi » (p. 188). Le milieu n'existe comme tel que pour et par un organisme qui le structure.</w:t>
      </w:r>
    </w:p>
    <w:p w:rsidR="00985CAE" w:rsidRDefault="00985CAE" w:rsidP="00237838">
      <w:pPr>
        <w:jc w:val="both"/>
      </w:pPr>
    </w:p>
    <w:p w:rsidR="00237838" w:rsidRPr="00237838" w:rsidRDefault="00237838" w:rsidP="00237838">
      <w:pPr>
        <w:jc w:val="both"/>
      </w:pPr>
      <w:r w:rsidRPr="00237838">
        <w:t>c) La dialectique santé/pathologie</w:t>
      </w:r>
    </w:p>
    <w:p w:rsidR="00237838" w:rsidRPr="00237838" w:rsidRDefault="00237838" w:rsidP="00237838">
      <w:pPr>
        <w:jc w:val="both"/>
      </w:pPr>
      <w:r w:rsidRPr="00237838">
        <w:t>Le texte introduit une distinction cruciale entre deux types de rapports au milieu :</w:t>
      </w:r>
    </w:p>
    <w:p w:rsidR="00237838" w:rsidRPr="00237838" w:rsidRDefault="00237838" w:rsidP="00237838">
      <w:pPr>
        <w:jc w:val="both"/>
      </w:pPr>
      <w:r w:rsidRPr="00237838">
        <w:t>État pathologique : « Lutte », « opposition », vie qui « s'affirme contre ». Les « mouvements de force » et les « réactions d'extension » signalent que l'organisme est contraint, menacé, dominé par l'extérieur. C'est la situation de la « situation catastrophique » de Goldstein – exactement ce que produit artificiellement l'expérimentation en laboratoire.</w:t>
      </w:r>
    </w:p>
    <w:p w:rsidR="00237838" w:rsidRPr="00237838" w:rsidRDefault="00237838" w:rsidP="00237838">
      <w:pPr>
        <w:jc w:val="both"/>
      </w:pPr>
      <w:r w:rsidRPr="00237838">
        <w:lastRenderedPageBreak/>
        <w:t>État de santé : « Vie en flexion », « en souplesse », « presque en douceur ». Une vie « confiante dans son existence, dans ses valeurs ». Le vivant sain ne lutte pas constamment – il est en « débat » avec son milieu, certes, mais un débat où il garde l'initiative, où il impose ses normes tout en restant plastique.</w:t>
      </w:r>
    </w:p>
    <w:p w:rsidR="00237838" w:rsidRPr="00237838" w:rsidRDefault="00237838" w:rsidP="00237838">
      <w:pPr>
        <w:jc w:val="both"/>
      </w:pPr>
      <w:r w:rsidRPr="00237838">
        <w:t>Contre Lamarck : Cette vision s'oppose aussi au vitalisme lamarckien. Pour Lamarck, « la vie c'est l'ensemble des fonctions qui résistent à la mort » (Bichat) – une lutte permanente où le milieu est « indifférent à la vie » et où l'adaptation est « un effort renouvelé » (p. 174). Pour Canguilhem, cette conception fait de la lutte l'état normal, alors qu'elle caractérise le pathologique.</w:t>
      </w:r>
    </w:p>
    <w:p w:rsidR="00237838" w:rsidRPr="00237838" w:rsidRDefault="00237838" w:rsidP="00237838">
      <w:pPr>
        <w:jc w:val="both"/>
      </w:pPr>
      <w:r w:rsidRPr="00237838">
        <w:t>Synthèse : Le texte défend une conception du vivant comme puissance normative autonome. Le vivant n'est ni une machine (mécanisme), ni le produit passif de son environnement (déterminisme), ni même un être en lutte permanente (Lamarck). C'est un centre d'évaluation et d'organisation qui structure activement son rapport au monde selon ses propres valeurs vitales. La santé consiste précisément dans cette capacité à « rayonner », à organiser le milieu avec souplesse et confiance.</w:t>
      </w:r>
    </w:p>
    <w:p w:rsidR="00985CAE" w:rsidRDefault="00985CAE" w:rsidP="00237838">
      <w:pPr>
        <w:jc w:val="both"/>
      </w:pPr>
    </w:p>
    <w:p w:rsidR="00237838" w:rsidRPr="00237838" w:rsidRDefault="00237838" w:rsidP="00237838">
      <w:pPr>
        <w:jc w:val="both"/>
      </w:pPr>
      <w:r w:rsidRPr="00237838">
        <w:t>Critère</w:t>
      </w:r>
      <w:r w:rsidR="00985CAE">
        <w:t>s</w:t>
      </w:r>
      <w:r w:rsidRPr="00237838">
        <w:t xml:space="preserve"> d'évaluation pour cette partie :</w:t>
      </w:r>
    </w:p>
    <w:p w:rsidR="00237838" w:rsidRPr="00237838" w:rsidRDefault="00237838" w:rsidP="00237838">
      <w:pPr>
        <w:numPr>
          <w:ilvl w:val="0"/>
          <w:numId w:val="8"/>
        </w:numPr>
        <w:jc w:val="both"/>
      </w:pPr>
      <w:r w:rsidRPr="00237838">
        <w:t>Compréhension de la thèse (3 points)</w:t>
      </w:r>
    </w:p>
    <w:p w:rsidR="00237838" w:rsidRPr="00237838" w:rsidRDefault="00237838" w:rsidP="00237838">
      <w:pPr>
        <w:numPr>
          <w:ilvl w:val="0"/>
          <w:numId w:val="8"/>
        </w:numPr>
        <w:jc w:val="both"/>
      </w:pPr>
      <w:r w:rsidRPr="00237838">
        <w:t>Explication de « se faire son milieu » (3 points)</w:t>
      </w:r>
    </w:p>
    <w:p w:rsidR="00237838" w:rsidRPr="00237838" w:rsidRDefault="00237838" w:rsidP="00237838">
      <w:pPr>
        <w:numPr>
          <w:ilvl w:val="0"/>
          <w:numId w:val="8"/>
        </w:numPr>
        <w:jc w:val="both"/>
      </w:pPr>
      <w:r w:rsidRPr="00237838">
        <w:t>Opposition mécanisme/déterminisme (4 points)</w:t>
      </w:r>
    </w:p>
    <w:p w:rsidR="00237838" w:rsidRPr="00237838" w:rsidRDefault="00237838" w:rsidP="00237838">
      <w:pPr>
        <w:jc w:val="both"/>
        <w:rPr>
          <w:b/>
          <w:bCs/>
        </w:rPr>
      </w:pPr>
    </w:p>
    <w:sectPr w:rsidR="00237838" w:rsidRPr="00237838">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0000500000000020000"/>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62135"/>
    <w:multiLevelType w:val="hybridMultilevel"/>
    <w:tmpl w:val="2DFC8406"/>
    <w:lvl w:ilvl="0" w:tplc="65C807F6">
      <w:start w:val="1"/>
      <w:numFmt w:val="bullet"/>
      <w:lvlText w:val="●"/>
      <w:lvlJc w:val="left"/>
      <w:pPr>
        <w:ind w:left="720" w:hanging="360"/>
      </w:pPr>
    </w:lvl>
    <w:lvl w:ilvl="1" w:tplc="D188ED64">
      <w:start w:val="1"/>
      <w:numFmt w:val="bullet"/>
      <w:lvlText w:val="○"/>
      <w:lvlJc w:val="left"/>
      <w:pPr>
        <w:ind w:left="1440" w:hanging="360"/>
      </w:pPr>
    </w:lvl>
    <w:lvl w:ilvl="2" w:tplc="A380D6A2">
      <w:start w:val="1"/>
      <w:numFmt w:val="bullet"/>
      <w:lvlText w:val="■"/>
      <w:lvlJc w:val="left"/>
      <w:pPr>
        <w:ind w:left="2160" w:hanging="360"/>
      </w:pPr>
    </w:lvl>
    <w:lvl w:ilvl="3" w:tplc="7F3A405C">
      <w:start w:val="1"/>
      <w:numFmt w:val="bullet"/>
      <w:lvlText w:val="●"/>
      <w:lvlJc w:val="left"/>
      <w:pPr>
        <w:ind w:left="2880" w:hanging="360"/>
      </w:pPr>
    </w:lvl>
    <w:lvl w:ilvl="4" w:tplc="7C925B9A">
      <w:start w:val="1"/>
      <w:numFmt w:val="bullet"/>
      <w:lvlText w:val="○"/>
      <w:lvlJc w:val="left"/>
      <w:pPr>
        <w:ind w:left="3600" w:hanging="360"/>
      </w:pPr>
    </w:lvl>
    <w:lvl w:ilvl="5" w:tplc="A8DA26A0">
      <w:start w:val="1"/>
      <w:numFmt w:val="bullet"/>
      <w:lvlText w:val="■"/>
      <w:lvlJc w:val="left"/>
      <w:pPr>
        <w:ind w:left="4320" w:hanging="360"/>
      </w:pPr>
    </w:lvl>
    <w:lvl w:ilvl="6" w:tplc="29A64DB4">
      <w:start w:val="1"/>
      <w:numFmt w:val="bullet"/>
      <w:lvlText w:val="●"/>
      <w:lvlJc w:val="left"/>
      <w:pPr>
        <w:ind w:left="5040" w:hanging="360"/>
      </w:pPr>
    </w:lvl>
    <w:lvl w:ilvl="7" w:tplc="66369C24">
      <w:start w:val="1"/>
      <w:numFmt w:val="bullet"/>
      <w:lvlText w:val="●"/>
      <w:lvlJc w:val="left"/>
      <w:pPr>
        <w:ind w:left="5760" w:hanging="360"/>
      </w:pPr>
    </w:lvl>
    <w:lvl w:ilvl="8" w:tplc="7B027610">
      <w:start w:val="1"/>
      <w:numFmt w:val="bullet"/>
      <w:lvlText w:val="●"/>
      <w:lvlJc w:val="left"/>
      <w:pPr>
        <w:ind w:left="6480" w:hanging="360"/>
      </w:pPr>
    </w:lvl>
  </w:abstractNum>
  <w:abstractNum w:abstractNumId="1" w15:restartNumberingAfterBreak="0">
    <w:nsid w:val="13F8502F"/>
    <w:multiLevelType w:val="multilevel"/>
    <w:tmpl w:val="CCEA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F77338"/>
    <w:multiLevelType w:val="multilevel"/>
    <w:tmpl w:val="F7B46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40362D"/>
    <w:multiLevelType w:val="multilevel"/>
    <w:tmpl w:val="37AC1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8049DB"/>
    <w:multiLevelType w:val="multilevel"/>
    <w:tmpl w:val="567E8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8F2E2D"/>
    <w:multiLevelType w:val="multilevel"/>
    <w:tmpl w:val="555AB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AB568B"/>
    <w:multiLevelType w:val="multilevel"/>
    <w:tmpl w:val="C5585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F409F5"/>
    <w:multiLevelType w:val="multilevel"/>
    <w:tmpl w:val="3FA03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num>
  <w:num w:numId="2">
    <w:abstractNumId w:val="3"/>
  </w:num>
  <w:num w:numId="3">
    <w:abstractNumId w:val="6"/>
  </w:num>
  <w:num w:numId="4">
    <w:abstractNumId w:val="7"/>
  </w:num>
  <w:num w:numId="5">
    <w:abstractNumId w:val="5"/>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71F"/>
    <w:rsid w:val="000D7B49"/>
    <w:rsid w:val="000F76BB"/>
    <w:rsid w:val="001012CE"/>
    <w:rsid w:val="001112D6"/>
    <w:rsid w:val="00185F04"/>
    <w:rsid w:val="00200436"/>
    <w:rsid w:val="00237838"/>
    <w:rsid w:val="00280CB2"/>
    <w:rsid w:val="002946EA"/>
    <w:rsid w:val="00337140"/>
    <w:rsid w:val="00395C94"/>
    <w:rsid w:val="003B3BD9"/>
    <w:rsid w:val="00437DEB"/>
    <w:rsid w:val="004F24BB"/>
    <w:rsid w:val="00502A87"/>
    <w:rsid w:val="00584334"/>
    <w:rsid w:val="005B6927"/>
    <w:rsid w:val="00604FCA"/>
    <w:rsid w:val="00647765"/>
    <w:rsid w:val="006B7A65"/>
    <w:rsid w:val="006D758B"/>
    <w:rsid w:val="00702647"/>
    <w:rsid w:val="00723099"/>
    <w:rsid w:val="00737733"/>
    <w:rsid w:val="0075096B"/>
    <w:rsid w:val="007E0E9D"/>
    <w:rsid w:val="00833BE3"/>
    <w:rsid w:val="00846BA3"/>
    <w:rsid w:val="00871979"/>
    <w:rsid w:val="008B064A"/>
    <w:rsid w:val="008F7B61"/>
    <w:rsid w:val="0092471F"/>
    <w:rsid w:val="00983FEE"/>
    <w:rsid w:val="00985CAE"/>
    <w:rsid w:val="009C5CEA"/>
    <w:rsid w:val="009F0543"/>
    <w:rsid w:val="00A728D6"/>
    <w:rsid w:val="00A82D88"/>
    <w:rsid w:val="00B1765D"/>
    <w:rsid w:val="00B64D7B"/>
    <w:rsid w:val="00B74C11"/>
    <w:rsid w:val="00BB43DE"/>
    <w:rsid w:val="00BD1FB5"/>
    <w:rsid w:val="00C20B0F"/>
    <w:rsid w:val="00C3524C"/>
    <w:rsid w:val="00CC4774"/>
    <w:rsid w:val="00D36C39"/>
    <w:rsid w:val="00DA377B"/>
    <w:rsid w:val="00E77F9F"/>
    <w:rsid w:val="00E93967"/>
    <w:rsid w:val="00F66EF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D52687-C03C-EA4C-ADC3-A3EB852E2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fr-FR"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uiPriority w:val="9"/>
    <w:qFormat/>
    <w:pPr>
      <w:spacing w:before="240" w:after="240"/>
      <w:outlineLvl w:val="0"/>
    </w:pPr>
    <w:rPr>
      <w:b/>
      <w:bCs/>
      <w:sz w:val="32"/>
      <w:szCs w:val="32"/>
    </w:rPr>
  </w:style>
  <w:style w:type="paragraph" w:styleId="Titre2">
    <w:name w:val="heading 2"/>
    <w:uiPriority w:val="9"/>
    <w:unhideWhenUsed/>
    <w:qFormat/>
    <w:pPr>
      <w:spacing w:before="180" w:after="180"/>
      <w:outlineLvl w:val="1"/>
    </w:pPr>
    <w:rPr>
      <w:b/>
      <w:bCs/>
      <w:sz w:val="28"/>
      <w:szCs w:val="28"/>
    </w:rPr>
  </w:style>
  <w:style w:type="paragraph" w:styleId="Titre3">
    <w:name w:val="heading 3"/>
    <w:uiPriority w:val="9"/>
    <w:semiHidden/>
    <w:unhideWhenUsed/>
    <w:qFormat/>
    <w:pPr>
      <w:outlineLvl w:val="2"/>
    </w:pPr>
    <w:rPr>
      <w:color w:val="1F4D78"/>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39354">
      <w:bodyDiv w:val="1"/>
      <w:marLeft w:val="0"/>
      <w:marRight w:val="0"/>
      <w:marTop w:val="0"/>
      <w:marBottom w:val="0"/>
      <w:divBdr>
        <w:top w:val="none" w:sz="0" w:space="0" w:color="auto"/>
        <w:left w:val="none" w:sz="0" w:space="0" w:color="auto"/>
        <w:bottom w:val="none" w:sz="0" w:space="0" w:color="auto"/>
        <w:right w:val="none" w:sz="0" w:space="0" w:color="auto"/>
      </w:divBdr>
    </w:div>
    <w:div w:id="158232753">
      <w:bodyDiv w:val="1"/>
      <w:marLeft w:val="0"/>
      <w:marRight w:val="0"/>
      <w:marTop w:val="0"/>
      <w:marBottom w:val="0"/>
      <w:divBdr>
        <w:top w:val="none" w:sz="0" w:space="0" w:color="auto"/>
        <w:left w:val="none" w:sz="0" w:space="0" w:color="auto"/>
        <w:bottom w:val="none" w:sz="0" w:space="0" w:color="auto"/>
        <w:right w:val="none" w:sz="0" w:space="0" w:color="auto"/>
      </w:divBdr>
    </w:div>
    <w:div w:id="217136028">
      <w:bodyDiv w:val="1"/>
      <w:marLeft w:val="0"/>
      <w:marRight w:val="0"/>
      <w:marTop w:val="0"/>
      <w:marBottom w:val="0"/>
      <w:divBdr>
        <w:top w:val="none" w:sz="0" w:space="0" w:color="auto"/>
        <w:left w:val="none" w:sz="0" w:space="0" w:color="auto"/>
        <w:bottom w:val="none" w:sz="0" w:space="0" w:color="auto"/>
        <w:right w:val="none" w:sz="0" w:space="0" w:color="auto"/>
      </w:divBdr>
    </w:div>
    <w:div w:id="636496529">
      <w:bodyDiv w:val="1"/>
      <w:marLeft w:val="0"/>
      <w:marRight w:val="0"/>
      <w:marTop w:val="0"/>
      <w:marBottom w:val="0"/>
      <w:divBdr>
        <w:top w:val="none" w:sz="0" w:space="0" w:color="auto"/>
        <w:left w:val="none" w:sz="0" w:space="0" w:color="auto"/>
        <w:bottom w:val="none" w:sz="0" w:space="0" w:color="auto"/>
        <w:right w:val="none" w:sz="0" w:space="0" w:color="auto"/>
      </w:divBdr>
    </w:div>
    <w:div w:id="654920341">
      <w:bodyDiv w:val="1"/>
      <w:marLeft w:val="0"/>
      <w:marRight w:val="0"/>
      <w:marTop w:val="0"/>
      <w:marBottom w:val="0"/>
      <w:divBdr>
        <w:top w:val="none" w:sz="0" w:space="0" w:color="auto"/>
        <w:left w:val="none" w:sz="0" w:space="0" w:color="auto"/>
        <w:bottom w:val="none" w:sz="0" w:space="0" w:color="auto"/>
        <w:right w:val="none" w:sz="0" w:space="0" w:color="auto"/>
      </w:divBdr>
    </w:div>
    <w:div w:id="1598251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2402</Words>
  <Characters>13212</Characters>
  <Application>Microsoft Office Word</Application>
  <DocSecurity>0</DocSecurity>
  <Lines>110</Lines>
  <Paragraphs>31</Paragraphs>
  <ScaleCrop>false</ScaleCrop>
  <Company/>
  <LinksUpToDate>false</LinksUpToDate>
  <CharactersWithSpaces>15583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Microsoft Office User</cp:lastModifiedBy>
  <cp:revision>2</cp:revision>
  <dcterms:created xsi:type="dcterms:W3CDTF">2026-03-16T12:10:00Z</dcterms:created>
  <dcterms:modified xsi:type="dcterms:W3CDTF">2026-03-16T12:10:00Z</dcterms:modified>
</cp:coreProperties>
</file>