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897D" w14:textId="1ACADE30" w:rsidR="002F5E00" w:rsidRDefault="002F5E00" w:rsidP="002F5E00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EXTRAIT RAPPORT X</w:t>
      </w:r>
      <w:r w:rsidR="00702AAD">
        <w:rPr>
          <w:rFonts w:ascii="Garamond" w:hAnsi="Garamond"/>
          <w:b/>
          <w:bCs/>
          <w:sz w:val="22"/>
          <w:szCs w:val="22"/>
        </w:rPr>
        <w:t>-</w:t>
      </w:r>
      <w:r>
        <w:rPr>
          <w:rFonts w:ascii="Garamond" w:hAnsi="Garamond"/>
          <w:b/>
          <w:bCs/>
          <w:sz w:val="22"/>
          <w:szCs w:val="22"/>
        </w:rPr>
        <w:t>ENS 2022</w:t>
      </w:r>
    </w:p>
    <w:p w14:paraId="594743F6" w14:textId="77777777" w:rsidR="00702AAD" w:rsidRDefault="00702AAD" w:rsidP="002F5E00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0B2C302A" w14:textId="6D1D1E3A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b/>
          <w:bCs/>
          <w:sz w:val="22"/>
          <w:szCs w:val="22"/>
        </w:rPr>
        <w:t>Qualité de langue et d’écriture</w:t>
      </w:r>
    </w:p>
    <w:p w14:paraId="60AF1052" w14:textId="02EA7993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b/>
          <w:bCs/>
          <w:sz w:val="22"/>
          <w:szCs w:val="22"/>
        </w:rPr>
        <w:t xml:space="preserve">Les structures simples </w:t>
      </w:r>
      <w:r w:rsidRPr="002F5E00">
        <w:rPr>
          <w:rFonts w:ascii="Garamond" w:hAnsi="Garamond"/>
          <w:sz w:val="22"/>
          <w:szCs w:val="22"/>
        </w:rPr>
        <w:t>sont en général bien maîtrisées. Toutefois, la plupart des erreurs relevées par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les correcteurs et correctrices de cette année sont les mêmes que les années précédentes et nécessitent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une attention particulière.</w:t>
      </w:r>
    </w:p>
    <w:p w14:paraId="6046D7C4" w14:textId="060223F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L’épreuve de synthèse de documents nécessitant la présentation d’une problématique, il est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regrettable que celle-ci soit bien trop souvent mal formulée. Certains candidats ont utilisé une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question directe, pour laquelle l’ordre des mots de type auxiliaire-sujet-verbe n’est pas aléatoire.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D’autres ont opté pour une question indirecte, dans laquelle l’inversion sujet-verbe ne doit pas se</w:t>
      </w:r>
      <w:r>
        <w:rPr>
          <w:rFonts w:ascii="Garamond" w:hAnsi="Garamond"/>
          <w:sz w:val="22"/>
          <w:szCs w:val="22"/>
        </w:rPr>
        <w:t xml:space="preserve"> f</w:t>
      </w:r>
      <w:r w:rsidRPr="002F5E00">
        <w:rPr>
          <w:rFonts w:ascii="Garamond" w:hAnsi="Garamond"/>
          <w:sz w:val="22"/>
          <w:szCs w:val="22"/>
        </w:rPr>
        <w:t>aire. Il en a résulté de nombreuses erreurs comme *</w:t>
      </w:r>
      <w:r w:rsidRPr="002F5E00">
        <w:rPr>
          <w:rFonts w:ascii="Garamond" w:hAnsi="Garamond"/>
          <w:i/>
          <w:iCs/>
          <w:sz w:val="22"/>
          <w:szCs w:val="22"/>
        </w:rPr>
        <w:t>How the pandemic has reshaped education</w:t>
      </w:r>
      <w:r w:rsidRPr="002F5E00">
        <w:rPr>
          <w:rFonts w:ascii="Garamond" w:hAnsi="Garamond"/>
          <w:sz w:val="22"/>
          <w:szCs w:val="22"/>
        </w:rPr>
        <w:t xml:space="preserve">? </w:t>
      </w:r>
      <w:r w:rsidRPr="002F5E00">
        <w:rPr>
          <w:rFonts w:ascii="Garamond" w:hAnsi="Garamond"/>
          <w:sz w:val="22"/>
          <w:szCs w:val="22"/>
        </w:rPr>
        <w:t>O</w:t>
      </w:r>
      <w:r w:rsidRPr="002F5E0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i/>
          <w:iCs/>
          <w:sz w:val="22"/>
          <w:szCs w:val="22"/>
        </w:rPr>
        <w:t>We will see whether did the crisis create an opportunity for teachers</w:t>
      </w:r>
      <w:r w:rsidRPr="002F5E00">
        <w:rPr>
          <w:rFonts w:ascii="Garamond" w:hAnsi="Garamond"/>
          <w:sz w:val="22"/>
          <w:szCs w:val="22"/>
        </w:rPr>
        <w:t>. La structure fréquemment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 xml:space="preserve">utilisée </w:t>
      </w:r>
      <w:r w:rsidRPr="002F5E00">
        <w:rPr>
          <w:rFonts w:ascii="Garamond" w:hAnsi="Garamond"/>
          <w:i/>
          <w:iCs/>
          <w:sz w:val="22"/>
          <w:szCs w:val="22"/>
        </w:rPr>
        <w:t>to what extent</w:t>
      </w:r>
      <w:r w:rsidRPr="002F5E00">
        <w:rPr>
          <w:rFonts w:ascii="Garamond" w:hAnsi="Garamond"/>
          <w:sz w:val="22"/>
          <w:szCs w:val="22"/>
        </w:rPr>
        <w:t xml:space="preserve"> (et non *</w:t>
      </w:r>
      <w:r w:rsidRPr="002F5E00">
        <w:rPr>
          <w:rFonts w:ascii="Garamond" w:hAnsi="Garamond"/>
          <w:i/>
          <w:iCs/>
          <w:sz w:val="22"/>
          <w:szCs w:val="22"/>
        </w:rPr>
        <w:t>in what extent</w:t>
      </w:r>
      <w:r w:rsidRPr="002F5E00">
        <w:rPr>
          <w:rFonts w:ascii="Garamond" w:hAnsi="Garamond"/>
          <w:sz w:val="22"/>
          <w:szCs w:val="22"/>
        </w:rPr>
        <w:t xml:space="preserve"> ou *</w:t>
      </w:r>
      <w:r w:rsidRPr="002F5E00">
        <w:rPr>
          <w:rFonts w:ascii="Garamond" w:hAnsi="Garamond"/>
          <w:i/>
          <w:iCs/>
          <w:sz w:val="22"/>
          <w:szCs w:val="22"/>
        </w:rPr>
        <w:t>to what extend</w:t>
      </w:r>
      <w:r w:rsidRPr="002F5E00">
        <w:rPr>
          <w:rFonts w:ascii="Garamond" w:hAnsi="Garamond"/>
          <w:sz w:val="22"/>
          <w:szCs w:val="22"/>
        </w:rPr>
        <w:t>) suit la même règle et la suite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diffèrera donc selon que l’interrogative soit directe ou indirecte. Enfin, omettre toute problématique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n’est pas une solution souhaitable.</w:t>
      </w:r>
    </w:p>
    <w:p w14:paraId="0C181174" w14:textId="440F6D3B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De trop nombreux candidats oublient le -s à la 3ème personne du singulier au présent simple, voire au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pluriel des noms, et peuvent l’ajouter à la fin d'adjectifs au pluriel, ou après des indénombrables.</w:t>
      </w:r>
    </w:p>
    <w:p w14:paraId="618537D5" w14:textId="4FFC9ACD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Rappelons *</w:t>
      </w:r>
      <w:r w:rsidRPr="002F5E00">
        <w:rPr>
          <w:rFonts w:ascii="Garamond" w:hAnsi="Garamond"/>
          <w:i/>
          <w:iCs/>
          <w:sz w:val="22"/>
          <w:szCs w:val="22"/>
        </w:rPr>
        <w:t>informations</w:t>
      </w:r>
      <w:r w:rsidRPr="002F5E00">
        <w:rPr>
          <w:rFonts w:ascii="Garamond" w:hAnsi="Garamond"/>
          <w:sz w:val="22"/>
          <w:szCs w:val="22"/>
        </w:rPr>
        <w:t>, *</w:t>
      </w:r>
      <w:r w:rsidRPr="002F5E00">
        <w:rPr>
          <w:rFonts w:ascii="Garamond" w:hAnsi="Garamond"/>
          <w:i/>
          <w:iCs/>
          <w:sz w:val="22"/>
          <w:szCs w:val="22"/>
        </w:rPr>
        <w:t>evidences</w:t>
      </w:r>
      <w:r w:rsidRPr="002F5E00">
        <w:rPr>
          <w:rFonts w:ascii="Garamond" w:hAnsi="Garamond"/>
          <w:sz w:val="22"/>
          <w:szCs w:val="22"/>
        </w:rPr>
        <w:t>, *</w:t>
      </w:r>
      <w:r w:rsidRPr="002F5E00">
        <w:rPr>
          <w:rFonts w:ascii="Garamond" w:hAnsi="Garamond"/>
          <w:i/>
          <w:iCs/>
          <w:sz w:val="22"/>
          <w:szCs w:val="22"/>
        </w:rPr>
        <w:t>researches</w:t>
      </w:r>
      <w:r w:rsidRPr="002F5E00">
        <w:rPr>
          <w:rFonts w:ascii="Garamond" w:hAnsi="Garamond"/>
          <w:sz w:val="22"/>
          <w:szCs w:val="22"/>
        </w:rPr>
        <w:t xml:space="preserve">. Soulignons également que </w:t>
      </w:r>
      <w:r w:rsidRPr="002F5E00">
        <w:rPr>
          <w:rFonts w:ascii="Garamond" w:hAnsi="Garamond"/>
          <w:i/>
          <w:iCs/>
          <w:sz w:val="22"/>
          <w:szCs w:val="22"/>
        </w:rPr>
        <w:t>every</w:t>
      </w:r>
      <w:r w:rsidRPr="002F5E00">
        <w:rPr>
          <w:rFonts w:ascii="Garamond" w:hAnsi="Garamond"/>
          <w:sz w:val="22"/>
          <w:szCs w:val="22"/>
        </w:rPr>
        <w:t xml:space="preserve"> doit être suivi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du singulier.</w:t>
      </w:r>
    </w:p>
    <w:p w14:paraId="45927986" w14:textId="3B5085D4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L’emploi des temps n’est pas toujours maîtrisé. Le présent simple ne doit pas être utilisé pour parler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d’un événement passé ou de la date d’une publication. La construction du prétérit (*</w:t>
      </w:r>
      <w:r w:rsidRPr="002F5E00">
        <w:rPr>
          <w:rFonts w:ascii="Garamond" w:hAnsi="Garamond"/>
          <w:i/>
          <w:iCs/>
          <w:sz w:val="22"/>
          <w:szCs w:val="22"/>
        </w:rPr>
        <w:t>he did not talked</w:t>
      </w:r>
      <w:r w:rsidRPr="002F5E00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peut être à revoir, tout comme la maîtrise des verbes irréguliers (*</w:t>
      </w:r>
      <w:r w:rsidRPr="002F5E00">
        <w:rPr>
          <w:rFonts w:ascii="Garamond" w:hAnsi="Garamond"/>
          <w:i/>
          <w:iCs/>
          <w:sz w:val="22"/>
          <w:szCs w:val="22"/>
        </w:rPr>
        <w:t>they teached differently</w:t>
      </w:r>
      <w:r w:rsidRPr="002F5E00">
        <w:rPr>
          <w:rFonts w:ascii="Garamond" w:hAnsi="Garamond"/>
          <w:sz w:val="22"/>
          <w:szCs w:val="22"/>
        </w:rPr>
        <w:t>).</w:t>
      </w:r>
    </w:p>
    <w:p w14:paraId="264AFF9B" w14:textId="36DF4133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Les articles continuent de poser problème. Parfois ils sont ajoutés alors qu’ils ne devraient pas l’être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comme dans *</w:t>
      </w:r>
      <w:r w:rsidRPr="002F5E00">
        <w:rPr>
          <w:rFonts w:ascii="Garamond" w:hAnsi="Garamond"/>
          <w:i/>
          <w:iCs/>
          <w:sz w:val="22"/>
          <w:szCs w:val="22"/>
        </w:rPr>
        <w:t xml:space="preserve">the education is at stake </w:t>
      </w:r>
      <w:r w:rsidRPr="002F5E00">
        <w:rPr>
          <w:rFonts w:ascii="Garamond" w:hAnsi="Garamond"/>
          <w:sz w:val="22"/>
          <w:szCs w:val="22"/>
        </w:rPr>
        <w:t>ou *</w:t>
      </w:r>
      <w:r w:rsidRPr="002F5E00">
        <w:rPr>
          <w:rFonts w:ascii="Garamond" w:hAnsi="Garamond"/>
          <w:i/>
          <w:iCs/>
          <w:sz w:val="22"/>
          <w:szCs w:val="22"/>
        </w:rPr>
        <w:t>a major issue in the society</w:t>
      </w:r>
      <w:r w:rsidRPr="002F5E00">
        <w:rPr>
          <w:rFonts w:ascii="Garamond" w:hAnsi="Garamond"/>
          <w:sz w:val="22"/>
          <w:szCs w:val="22"/>
        </w:rPr>
        <w:t>, et parfois c’est l’inverse avec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*</w:t>
      </w:r>
      <w:r w:rsidRPr="002F5E00">
        <w:rPr>
          <w:rFonts w:ascii="Garamond" w:hAnsi="Garamond"/>
          <w:i/>
          <w:iCs/>
          <w:sz w:val="22"/>
          <w:szCs w:val="22"/>
        </w:rPr>
        <w:t>using internet is preferable</w:t>
      </w:r>
      <w:r w:rsidRPr="002F5E00">
        <w:rPr>
          <w:rFonts w:ascii="Garamond" w:hAnsi="Garamond"/>
          <w:sz w:val="22"/>
          <w:szCs w:val="22"/>
        </w:rPr>
        <w:t xml:space="preserve"> ou *</w:t>
      </w:r>
      <w:r w:rsidRPr="002F5E00">
        <w:rPr>
          <w:rFonts w:ascii="Garamond" w:hAnsi="Garamond"/>
          <w:i/>
          <w:iCs/>
          <w:sz w:val="22"/>
          <w:szCs w:val="22"/>
        </w:rPr>
        <w:t>what we can gain from covid crisis</w:t>
      </w:r>
      <w:r w:rsidRPr="002F5E00">
        <w:rPr>
          <w:rFonts w:ascii="Garamond" w:hAnsi="Garamond"/>
          <w:sz w:val="22"/>
          <w:szCs w:val="22"/>
        </w:rPr>
        <w:t>.</w:t>
      </w:r>
    </w:p>
    <w:p w14:paraId="0688F239" w14:textId="7EF9F135" w:rsid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 xml:space="preserve">Les mots de liaison sont à utiliser, mais à bon escient et en respectant les structures. Ainsi </w:t>
      </w:r>
      <w:r w:rsidRPr="002F5E00">
        <w:rPr>
          <w:rFonts w:ascii="Garamond" w:hAnsi="Garamond"/>
          <w:i/>
          <w:iCs/>
          <w:sz w:val="22"/>
          <w:szCs w:val="22"/>
        </w:rPr>
        <w:t>although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 xml:space="preserve">en début de phrase ne peut se trouver suivi immédiatement par une virgule contrairement à </w:t>
      </w:r>
      <w:r w:rsidRPr="002F5E00">
        <w:rPr>
          <w:rFonts w:ascii="Garamond" w:hAnsi="Garamond"/>
          <w:i/>
          <w:iCs/>
          <w:sz w:val="22"/>
          <w:szCs w:val="22"/>
        </w:rPr>
        <w:t>however</w:t>
      </w:r>
      <w:r w:rsidRPr="002F5E00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 xml:space="preserve">De même, </w:t>
      </w:r>
      <w:r w:rsidRPr="002F5E00">
        <w:rPr>
          <w:rFonts w:ascii="Garamond" w:hAnsi="Garamond"/>
          <w:i/>
          <w:iCs/>
          <w:sz w:val="22"/>
          <w:szCs w:val="22"/>
        </w:rPr>
        <w:t>thus</w:t>
      </w:r>
      <w:r w:rsidRPr="002F5E00">
        <w:rPr>
          <w:rFonts w:ascii="Garamond" w:hAnsi="Garamond"/>
          <w:sz w:val="22"/>
          <w:szCs w:val="22"/>
        </w:rPr>
        <w:t xml:space="preserve"> n’indique pas une contradiction.</w:t>
      </w:r>
    </w:p>
    <w:p w14:paraId="14CDCA23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</w:p>
    <w:p w14:paraId="4EC130BA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Voici une liste d’erreurs rencontrées fréquemment :</w:t>
      </w:r>
    </w:p>
    <w:p w14:paraId="494D307F" w14:textId="15B8FC46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b/>
          <w:bCs/>
          <w:sz w:val="22"/>
          <w:szCs w:val="22"/>
        </w:rPr>
        <w:t>Confusions</w:t>
      </w:r>
      <w:r w:rsidRPr="002F5E00">
        <w:rPr>
          <w:rFonts w:ascii="Garamond" w:hAnsi="Garamond"/>
          <w:sz w:val="22"/>
          <w:szCs w:val="22"/>
        </w:rPr>
        <w:t xml:space="preserve">: </w:t>
      </w:r>
      <w:r w:rsidRPr="002F5E00">
        <w:rPr>
          <w:rFonts w:ascii="Garamond" w:hAnsi="Garamond"/>
          <w:i/>
          <w:iCs/>
          <w:sz w:val="22"/>
          <w:szCs w:val="22"/>
        </w:rPr>
        <w:t>as/like; teach/learn</w:t>
      </w:r>
      <w:r w:rsidRPr="002F5E00">
        <w:rPr>
          <w:rFonts w:ascii="Garamond" w:hAnsi="Garamond"/>
          <w:sz w:val="22"/>
          <w:szCs w:val="22"/>
        </w:rPr>
        <w:t xml:space="preserve">; </w:t>
      </w:r>
      <w:r w:rsidRPr="002F5E00">
        <w:rPr>
          <w:rFonts w:ascii="Garamond" w:hAnsi="Garamond"/>
          <w:i/>
          <w:iCs/>
          <w:sz w:val="22"/>
          <w:szCs w:val="22"/>
        </w:rPr>
        <w:t xml:space="preserve">use </w:t>
      </w:r>
      <w:r w:rsidRPr="002F5E00">
        <w:rPr>
          <w:rFonts w:ascii="Garamond" w:hAnsi="Garamond"/>
          <w:sz w:val="22"/>
          <w:szCs w:val="22"/>
        </w:rPr>
        <w:t xml:space="preserve">vs. </w:t>
      </w:r>
      <w:r w:rsidRPr="002F5E00">
        <w:rPr>
          <w:rFonts w:ascii="Garamond" w:hAnsi="Garamond"/>
          <w:i/>
          <w:iCs/>
          <w:sz w:val="22"/>
          <w:szCs w:val="22"/>
        </w:rPr>
        <w:t xml:space="preserve">usage </w:t>
      </w:r>
      <w:r w:rsidRPr="002F5E00">
        <w:rPr>
          <w:rFonts w:ascii="Garamond" w:hAnsi="Garamond"/>
          <w:sz w:val="22"/>
          <w:szCs w:val="22"/>
        </w:rPr>
        <w:t xml:space="preserve">; </w:t>
      </w:r>
      <w:r w:rsidRPr="002F5E00">
        <w:rPr>
          <w:rFonts w:ascii="Garamond" w:hAnsi="Garamond"/>
          <w:i/>
          <w:iCs/>
          <w:sz w:val="22"/>
          <w:szCs w:val="22"/>
        </w:rPr>
        <w:t xml:space="preserve">ethics </w:t>
      </w:r>
      <w:r w:rsidRPr="002F5E00">
        <w:rPr>
          <w:rFonts w:ascii="Garamond" w:hAnsi="Garamond"/>
          <w:sz w:val="22"/>
          <w:szCs w:val="22"/>
        </w:rPr>
        <w:t xml:space="preserve">vs </w:t>
      </w:r>
      <w:r w:rsidRPr="002F5E00">
        <w:rPr>
          <w:rFonts w:ascii="Garamond" w:hAnsi="Garamond"/>
          <w:i/>
          <w:iCs/>
          <w:sz w:val="22"/>
          <w:szCs w:val="22"/>
        </w:rPr>
        <w:t xml:space="preserve">ethical </w:t>
      </w:r>
      <w:r w:rsidRPr="002F5E00">
        <w:rPr>
          <w:rFonts w:ascii="Garamond" w:hAnsi="Garamond"/>
          <w:sz w:val="22"/>
          <w:szCs w:val="22"/>
        </w:rPr>
        <w:t xml:space="preserve">; </w:t>
      </w:r>
      <w:r w:rsidRPr="002F5E00">
        <w:rPr>
          <w:rFonts w:ascii="Garamond" w:hAnsi="Garamond"/>
          <w:i/>
          <w:iCs/>
          <w:sz w:val="22"/>
          <w:szCs w:val="22"/>
        </w:rPr>
        <w:t xml:space="preserve">actual </w:t>
      </w:r>
      <w:r w:rsidRPr="002F5E00">
        <w:rPr>
          <w:rFonts w:ascii="Garamond" w:hAnsi="Garamond"/>
          <w:sz w:val="22"/>
          <w:szCs w:val="22"/>
        </w:rPr>
        <w:t xml:space="preserve">vs. </w:t>
      </w:r>
      <w:r w:rsidRPr="002F5E00">
        <w:rPr>
          <w:rFonts w:ascii="Garamond" w:hAnsi="Garamond"/>
          <w:i/>
          <w:iCs/>
          <w:sz w:val="22"/>
          <w:szCs w:val="22"/>
        </w:rPr>
        <w:t xml:space="preserve">current </w:t>
      </w:r>
      <w:r w:rsidRPr="002F5E00">
        <w:rPr>
          <w:rFonts w:ascii="Garamond" w:hAnsi="Garamond"/>
          <w:sz w:val="22"/>
          <w:szCs w:val="22"/>
        </w:rPr>
        <w:t xml:space="preserve">; </w:t>
      </w:r>
      <w:r w:rsidRPr="002F5E00">
        <w:rPr>
          <w:rFonts w:ascii="Garamond" w:hAnsi="Garamond"/>
          <w:i/>
          <w:iCs/>
          <w:sz w:val="22"/>
          <w:szCs w:val="22"/>
        </w:rPr>
        <w:t xml:space="preserve">more </w:t>
      </w:r>
      <w:r w:rsidRPr="002F5E00">
        <w:rPr>
          <w:rFonts w:ascii="Garamond" w:hAnsi="Garamond"/>
          <w:sz w:val="22"/>
          <w:szCs w:val="22"/>
        </w:rPr>
        <w:t xml:space="preserve">vs. </w:t>
      </w:r>
      <w:r w:rsidRPr="002F5E00">
        <w:rPr>
          <w:rFonts w:ascii="Garamond" w:hAnsi="Garamond"/>
          <w:i/>
          <w:iCs/>
          <w:sz w:val="22"/>
          <w:szCs w:val="22"/>
        </w:rPr>
        <w:t>most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 xml:space="preserve">; </w:t>
      </w:r>
      <w:r w:rsidRPr="002F5E00">
        <w:rPr>
          <w:rFonts w:ascii="Garamond" w:hAnsi="Garamond"/>
          <w:i/>
          <w:iCs/>
          <w:sz w:val="22"/>
          <w:szCs w:val="22"/>
        </w:rPr>
        <w:t>to *rise a question</w:t>
      </w:r>
      <w:r w:rsidRPr="002F5E00">
        <w:rPr>
          <w:rFonts w:ascii="Garamond" w:hAnsi="Garamond"/>
          <w:sz w:val="22"/>
          <w:szCs w:val="22"/>
        </w:rPr>
        <w:t xml:space="preserve"> ; </w:t>
      </w:r>
      <w:r w:rsidRPr="002F5E00">
        <w:rPr>
          <w:rFonts w:ascii="Garamond" w:hAnsi="Garamond"/>
          <w:i/>
          <w:iCs/>
          <w:sz w:val="22"/>
          <w:szCs w:val="22"/>
        </w:rPr>
        <w:t xml:space="preserve">formation </w:t>
      </w:r>
      <w:r w:rsidRPr="002F5E00">
        <w:rPr>
          <w:rFonts w:ascii="Garamond" w:hAnsi="Garamond"/>
          <w:sz w:val="22"/>
          <w:szCs w:val="22"/>
        </w:rPr>
        <w:t xml:space="preserve">employé au lieu de </w:t>
      </w:r>
      <w:r w:rsidRPr="002F5E00">
        <w:rPr>
          <w:rFonts w:ascii="Garamond" w:hAnsi="Garamond"/>
          <w:i/>
          <w:iCs/>
          <w:sz w:val="22"/>
          <w:szCs w:val="22"/>
        </w:rPr>
        <w:t xml:space="preserve">training </w:t>
      </w:r>
      <w:r w:rsidRPr="002F5E00">
        <w:rPr>
          <w:rFonts w:ascii="Garamond" w:hAnsi="Garamond"/>
          <w:sz w:val="22"/>
          <w:szCs w:val="22"/>
        </w:rPr>
        <w:t xml:space="preserve">; </w:t>
      </w:r>
      <w:r w:rsidRPr="002F5E00">
        <w:rPr>
          <w:rFonts w:ascii="Garamond" w:hAnsi="Garamond"/>
          <w:i/>
          <w:iCs/>
          <w:sz w:val="22"/>
          <w:szCs w:val="22"/>
        </w:rPr>
        <w:t>economic/economical</w:t>
      </w:r>
    </w:p>
    <w:p w14:paraId="314A61C9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b/>
          <w:bCs/>
          <w:sz w:val="22"/>
          <w:szCs w:val="22"/>
        </w:rPr>
        <w:t xml:space="preserve">Gallicismes et calques : </w:t>
      </w:r>
      <w:r w:rsidRPr="002F5E00">
        <w:rPr>
          <w:rFonts w:ascii="Garamond" w:hAnsi="Garamond"/>
          <w:sz w:val="22"/>
          <w:szCs w:val="22"/>
        </w:rPr>
        <w:t>*</w:t>
      </w:r>
      <w:r w:rsidRPr="002F5E00">
        <w:rPr>
          <w:rFonts w:ascii="Garamond" w:hAnsi="Garamond"/>
          <w:i/>
          <w:iCs/>
          <w:sz w:val="22"/>
          <w:szCs w:val="22"/>
        </w:rPr>
        <w:t>inconvenients</w:t>
      </w:r>
      <w:r w:rsidRPr="002F5E00">
        <w:rPr>
          <w:rFonts w:ascii="Garamond" w:hAnsi="Garamond"/>
          <w:sz w:val="22"/>
          <w:szCs w:val="22"/>
        </w:rPr>
        <w:t>,</w:t>
      </w:r>
      <w:r w:rsidRPr="002F5E00">
        <w:rPr>
          <w:rFonts w:ascii="Garamond" w:hAnsi="Garamond"/>
          <w:i/>
          <w:iCs/>
          <w:sz w:val="22"/>
          <w:szCs w:val="22"/>
        </w:rPr>
        <w:t xml:space="preserve"> the *changement, * nefast, *considerated</w:t>
      </w:r>
    </w:p>
    <w:p w14:paraId="67CE54A8" w14:textId="01F35B7B" w:rsidR="002F5E00" w:rsidRDefault="002F5E00" w:rsidP="002F5E00">
      <w:pPr>
        <w:jc w:val="both"/>
        <w:rPr>
          <w:rFonts w:ascii="Garamond" w:hAnsi="Garamond"/>
          <w:i/>
          <w:iCs/>
          <w:sz w:val="22"/>
          <w:szCs w:val="22"/>
        </w:rPr>
      </w:pPr>
      <w:r w:rsidRPr="002F5E00">
        <w:rPr>
          <w:rFonts w:ascii="Garamond" w:hAnsi="Garamond"/>
          <w:b/>
          <w:bCs/>
          <w:sz w:val="22"/>
          <w:szCs w:val="22"/>
        </w:rPr>
        <w:t xml:space="preserve">Orthographe </w:t>
      </w:r>
      <w:r w:rsidRPr="002F5E00">
        <w:rPr>
          <w:rFonts w:ascii="Garamond" w:hAnsi="Garamond"/>
          <w:sz w:val="22"/>
          <w:szCs w:val="22"/>
        </w:rPr>
        <w:t xml:space="preserve">: </w:t>
      </w:r>
      <w:r w:rsidRPr="002F5E00">
        <w:rPr>
          <w:rFonts w:ascii="Garamond" w:hAnsi="Garamond"/>
          <w:i/>
          <w:iCs/>
          <w:sz w:val="22"/>
          <w:szCs w:val="22"/>
        </w:rPr>
        <w:t>to vs. too, there vs. their, *wich ou *witch (</w:t>
      </w:r>
      <w:r w:rsidRPr="002F5E00">
        <w:rPr>
          <w:rFonts w:ascii="Garamond" w:hAnsi="Garamond"/>
          <w:sz w:val="22"/>
          <w:szCs w:val="22"/>
        </w:rPr>
        <w:t xml:space="preserve">pour </w:t>
      </w:r>
      <w:r w:rsidRPr="002F5E00">
        <w:rPr>
          <w:rFonts w:ascii="Garamond" w:hAnsi="Garamond"/>
          <w:i/>
          <w:iCs/>
          <w:sz w:val="22"/>
          <w:szCs w:val="22"/>
        </w:rPr>
        <w:t>which), *responsability, off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i/>
          <w:iCs/>
          <w:sz w:val="22"/>
          <w:szCs w:val="22"/>
        </w:rPr>
        <w:t>(pour of), *futur, *independant, thing (</w:t>
      </w:r>
      <w:r w:rsidRPr="002F5E00">
        <w:rPr>
          <w:rFonts w:ascii="Garamond" w:hAnsi="Garamond"/>
          <w:sz w:val="22"/>
          <w:szCs w:val="22"/>
        </w:rPr>
        <w:t xml:space="preserve">pour </w:t>
      </w:r>
      <w:r w:rsidRPr="002F5E00">
        <w:rPr>
          <w:rFonts w:ascii="Garamond" w:hAnsi="Garamond"/>
          <w:i/>
          <w:iCs/>
          <w:sz w:val="22"/>
          <w:szCs w:val="22"/>
        </w:rPr>
        <w:t>think), *promissing, *an other, *in deed, *wether,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i/>
          <w:iCs/>
          <w:sz w:val="22"/>
          <w:szCs w:val="22"/>
        </w:rPr>
        <w:t>*acquiere, *requiere, *usefull, *helpfull, *developp(ed)/developpement, *acess, *hole (</w:t>
      </w:r>
      <w:r w:rsidRPr="002F5E00">
        <w:rPr>
          <w:rFonts w:ascii="Garamond" w:hAnsi="Garamond"/>
          <w:sz w:val="22"/>
          <w:szCs w:val="22"/>
        </w:rPr>
        <w:t>pour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i/>
          <w:iCs/>
          <w:sz w:val="22"/>
          <w:szCs w:val="22"/>
        </w:rPr>
        <w:t>whole)*mock lessons (</w:t>
      </w:r>
      <w:r w:rsidRPr="002F5E00">
        <w:rPr>
          <w:rFonts w:ascii="Garamond" w:hAnsi="Garamond"/>
          <w:sz w:val="22"/>
          <w:szCs w:val="22"/>
        </w:rPr>
        <w:t>pour</w:t>
      </w:r>
      <w:r w:rsidRPr="002F5E00">
        <w:rPr>
          <w:rFonts w:ascii="Garamond" w:hAnsi="Garamond"/>
          <w:i/>
          <w:iCs/>
          <w:sz w:val="22"/>
          <w:szCs w:val="22"/>
        </w:rPr>
        <w:t xml:space="preserve"> MOOC lessons)</w:t>
      </w:r>
    </w:p>
    <w:p w14:paraId="2A8D70A2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</w:p>
    <w:p w14:paraId="7D6EA9FD" w14:textId="3BCFDFD0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b/>
          <w:bCs/>
          <w:sz w:val="22"/>
          <w:szCs w:val="22"/>
        </w:rPr>
        <w:t xml:space="preserve">Registre </w:t>
      </w:r>
      <w:r w:rsidRPr="002F5E00">
        <w:rPr>
          <w:rFonts w:ascii="Garamond" w:hAnsi="Garamond"/>
          <w:sz w:val="22"/>
          <w:szCs w:val="22"/>
        </w:rPr>
        <w:t>: Beaucoup de copies (y compris des bonnes) tombent dans le registre familier et/ou oral ce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qui est à proscrire en particulier dans la synthèse (</w:t>
      </w:r>
      <w:r w:rsidRPr="002F5E00">
        <w:rPr>
          <w:rFonts w:ascii="Garamond" w:hAnsi="Garamond"/>
          <w:i/>
          <w:iCs/>
          <w:sz w:val="22"/>
          <w:szCs w:val="22"/>
        </w:rPr>
        <w:t>easy as pie, gotcha, pretty dangerous</w:t>
      </w:r>
      <w:r w:rsidRPr="002F5E00">
        <w:rPr>
          <w:rFonts w:ascii="Garamond" w:hAnsi="Garamond"/>
          <w:sz w:val="22"/>
          <w:szCs w:val="22"/>
        </w:rPr>
        <w:t>). Le style du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texte d’opinion peut être plus libre, mais sans se transformer en accumulation de telles expressions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orales ou familières.</w:t>
      </w:r>
    </w:p>
    <w:p w14:paraId="51B194BF" w14:textId="52636112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Le jury a parfois été confronté à des copies contenant un vocabulaire sophistiqué, mais utilisé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à mauvais escient, ainsi qu’à un excès d’expressions rebattues et / ou formulées avec des erreurs.</w:t>
      </w:r>
    </w:p>
    <w:p w14:paraId="558966EE" w14:textId="4C57948F" w:rsid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Certaines copies ont été alourdies par des phrases trop longues, d’autres rendues mécaniques par des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phrases trop courtes et des structures répétitives. Une bonne maîtrise de la ponctuation reste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également nécessaire.</w:t>
      </w:r>
    </w:p>
    <w:p w14:paraId="13668817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</w:p>
    <w:p w14:paraId="133E960D" w14:textId="5F7F9CAA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b/>
          <w:bCs/>
          <w:sz w:val="22"/>
          <w:szCs w:val="22"/>
        </w:rPr>
        <w:t>Forme et méthodologie</w:t>
      </w:r>
    </w:p>
    <w:p w14:paraId="562BF2DD" w14:textId="421210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D'un point de vue formel, le jury corrige de très nombreuses copies, il ne peut donc pas faire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d'efforts particuliers pour déchiffrer des écritures illisibles ou des copies émaillées de ratures.</w:t>
      </w:r>
    </w:p>
    <w:p w14:paraId="430903B0" w14:textId="403A90A1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Une présentation soignée aide le correcteur, elle est aussi perçue comme une marque du respect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le plus élémentaire. Lors du comptage des mots, une accumulation de traits verticaux nuisent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également à la lisibilité.</w:t>
      </w:r>
    </w:p>
    <w:p w14:paraId="5188447A" w14:textId="68411BE3" w:rsid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Dans l’ensemble, les objectifs de l’exercice ont été bien compris, ce qui montre la bonne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préparation des candidats. Cependant, les consignes n’ont pas toujours été respectées, et le jury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a remarqué de nombreuses faiblesses dans la méthodologie et la forme des productions. Nous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rappelons par exemple que le nombre de mots doit être indiqué (sans tricher) à la fin de chaque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exercice par les candidats. L’omission de cette information nécessaire a été sanctionnée comme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il se doit.</w:t>
      </w:r>
    </w:p>
    <w:p w14:paraId="033702F5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</w:p>
    <w:p w14:paraId="73B7EC69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Il ne faut pas non plus oublier de donner un titre à la synthèse de la partie A. Si certains titres</w:t>
      </w:r>
    </w:p>
    <w:p w14:paraId="4BA792BE" w14:textId="062EA1C5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ont semblé trop banals</w:t>
      </w:r>
      <w:r>
        <w:rPr>
          <w:rFonts w:ascii="Garamond" w:hAnsi="Garamond"/>
          <w:sz w:val="22"/>
          <w:szCs w:val="22"/>
        </w:rPr>
        <w:t xml:space="preserve">, </w:t>
      </w:r>
      <w:r w:rsidRPr="002F5E00">
        <w:rPr>
          <w:rFonts w:ascii="Garamond" w:hAnsi="Garamond"/>
          <w:sz w:val="22"/>
          <w:szCs w:val="22"/>
        </w:rPr>
        <w:t>d’autres étaient particulièrement percutants</w:t>
      </w:r>
      <w:r>
        <w:rPr>
          <w:rFonts w:ascii="Garamond" w:hAnsi="Garamond"/>
          <w:sz w:val="22"/>
          <w:szCs w:val="22"/>
        </w:rPr>
        <w:t xml:space="preserve">. </w:t>
      </w:r>
      <w:r w:rsidRPr="002F5E00">
        <w:rPr>
          <w:rFonts w:ascii="Garamond" w:hAnsi="Garamond"/>
          <w:sz w:val="22"/>
          <w:szCs w:val="22"/>
        </w:rPr>
        <w:t>Ces titres ont fait l’objet de bonus pour les candidats. Toutefois, chercher à tout prix le jeu de mots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peut comporter des risques si le résultat n’est pas à la hauteur des attentes.</w:t>
      </w:r>
    </w:p>
    <w:p w14:paraId="3468D248" w14:textId="09CD288F" w:rsid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Nous rappelons également que des introductions incomplètes ou trop longues, ainsi que des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conclusions trop courtes ou absentes, nuisent à l’efficacité de la présentation. Par ailleurs, de trop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nombreuses copies y compris dans un excellent anglais se sont trouvées tronquées par manque de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temps, ce qui montre la nécessité d’un entrainement régulier en temps limité.</w:t>
      </w:r>
    </w:p>
    <w:p w14:paraId="0A783014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</w:p>
    <w:p w14:paraId="3457D485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b/>
          <w:bCs/>
          <w:sz w:val="22"/>
          <w:szCs w:val="22"/>
        </w:rPr>
        <w:t>(A) La synthèse</w:t>
      </w:r>
    </w:p>
    <w:p w14:paraId="53D59F35" w14:textId="50AFD936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Les candidats doivent se garder de ne pas confondre les deux parties de l'épreuve : la synthèse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de documents ne doit pas inclure de remarques personnelles ou d’éléments extérieurs aux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documents donnés, même pour l’accroche. Elle doit être concise, mais complète, n’omettant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pas d’informations importantes, mais ne se perdant pas non plus dans les détails. Tous les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documents doivent être traités équitablement — graphique compris, car celui-ci est trop fréquemment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traité en deux lignes — et nommés avec précision dans l’introduction en veillant à ce que celle-ci ne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se transforme pas en énumération. L’utilisation d’un code couleur pour la référence aux articles peut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 xml:space="preserve">aider encore davantage à la clarté du référencement. </w:t>
      </w:r>
    </w:p>
    <w:p w14:paraId="3494A118" w14:textId="23CBB0E6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lastRenderedPageBreak/>
        <w:t>Le jury a noté que les introductions étaient souvent trop longues tandis que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les conclusions se limitaient à une ou deux phrases, nuisant à la pertinence de la synthèse.</w:t>
      </w:r>
    </w:p>
    <w:p w14:paraId="675A9C97" w14:textId="3FFFD55E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La synthèse est un exercice délicat qui demande aux candidats d’amener des points de vue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divergents à une conclusion nuancée. Il convient de traiter de manière égale tous les documents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et de restituer avec ses propres mots les informations importantes à l’aide d’un vocabulaire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suffisamment précis, riche et varié pour rendre la subtilité des arguments. Les différentes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opinions exprimées par les auteurs ou par les spécialistes mentionnés dans les textes doivent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être présentées de manière fidèle et neutre, en respectant les nuances des propos, sans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simplification, jugement ou caricature.</w:t>
      </w:r>
    </w:p>
    <w:p w14:paraId="5B7FCD64" w14:textId="6671494D" w:rsid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Si les plans ont rarement manqué de logique, ils ont pu être trop mécaniques pour articuler au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mieux les différentes positions sur une question assez complexe. Il arrive parfois que les candidats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présentent non pas une synthèse globale du dossier, mais des résumés individuels de chaque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document, l’un après l’autre, sans relier suffisamment les points de convergence et de divergence des</w:t>
      </w:r>
      <w:r>
        <w:rPr>
          <w:rFonts w:ascii="Garamond" w:hAnsi="Garamond"/>
          <w:sz w:val="22"/>
          <w:szCs w:val="22"/>
        </w:rPr>
        <w:t xml:space="preserve"> i</w:t>
      </w:r>
      <w:r w:rsidRPr="002F5E00">
        <w:rPr>
          <w:rFonts w:ascii="Garamond" w:hAnsi="Garamond"/>
          <w:sz w:val="22"/>
          <w:szCs w:val="22"/>
        </w:rPr>
        <w:t>dées. Les paragraphes comme les phrases doivent se suivre et l'accumulation de mots de liaison ne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saurait se substituer à une véritable logique de l'argumentation.</w:t>
      </w:r>
    </w:p>
    <w:p w14:paraId="1CADACEC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</w:p>
    <w:p w14:paraId="50F766D8" w14:textId="7777777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b/>
          <w:bCs/>
          <w:sz w:val="22"/>
          <w:szCs w:val="22"/>
        </w:rPr>
        <w:t>(B) Texte d’opinion</w:t>
      </w:r>
    </w:p>
    <w:p w14:paraId="08E86A54" w14:textId="1466AB9E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La seconde partie départage souvent les candidats plus encore que la première. Il faut donc apporter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le plus grand soin à un exercice où s'exprime plus ouvertement la pensée d'un individu. Le jury a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constaté que de trop nombreux candidats se sont contentés de commenter l’un après l’autre les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arguments de l’éditorial et de reprendre les mêmes exemples. Tout comme la synthèse, le texte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d’opinion doit être problématisé et structuré, les candidats ne doivent pas se contenter de réagir.</w:t>
      </w:r>
    </w:p>
    <w:p w14:paraId="4B5D0431" w14:textId="0FF3C301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Bien que l'exercice exige des candidats qu'ils prennent position sur la question – il ne s’agit pas d’un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exposé ou d’un thème de dissertation –, il convient d'éviter toute partialité excessive. Que les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candidats soient en accord ou en désaccord avec l'auteur du texte d'opinion, leur réaction doit rester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 xml:space="preserve">mesurée. Caricaturer les propos de l’auteur ou l’insulter est inacceptable. 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Il est tout à fait possible de ne pas être d'accord avec l'auteur, à condition d'avancer des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 xml:space="preserve">arguments accompagnés par des exemples précis et, surtout, de ne pas tomber dans l'invective. </w:t>
      </w:r>
    </w:p>
    <w:p w14:paraId="2D5A9F1F" w14:textId="7C6CABE2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Le niveau de langue se relâche souvent de manière dommageable dans le sujet d'opinion. Les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candidats doivent utiliser un registre de langue digne d’un concours de recrutement de grande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école et sont en mesure d’avancer leur opinion sans emprunter un style oral et familier.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Certaines copies ont néanmoins présenté des opinions pertinemment argumentées, les meilleures se</w:t>
      </w:r>
    </w:p>
    <w:p w14:paraId="6221F78A" w14:textId="2C28C187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rapprochant de l'éditorial. On attend du candidat une réflexion alimentée par une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culture scientifique et générale d'un bon niveau, et qui démontre un esprit critique. Il ne s'agit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pas de se contenter de faire quelques rapides références littéraires ou cinématographiques</w:t>
      </w:r>
      <w:r>
        <w:rPr>
          <w:rFonts w:ascii="Garamond" w:hAnsi="Garamond"/>
          <w:sz w:val="22"/>
          <w:szCs w:val="22"/>
        </w:rPr>
        <w:t xml:space="preserve">; Le </w:t>
      </w:r>
      <w:r w:rsidRPr="002F5E00">
        <w:rPr>
          <w:rFonts w:ascii="Garamond" w:hAnsi="Garamond"/>
          <w:sz w:val="22"/>
          <w:szCs w:val="22"/>
        </w:rPr>
        <w:t>jury regrette de ne pas avoir trouvé plus de références philosophiques,</w:t>
      </w:r>
    </w:p>
    <w:p w14:paraId="5081A122" w14:textId="31BB8C6C" w:rsidR="002F5E00" w:rsidRPr="002F5E00" w:rsidRDefault="002F5E00" w:rsidP="002F5E00">
      <w:pPr>
        <w:jc w:val="both"/>
        <w:rPr>
          <w:rFonts w:ascii="Garamond" w:hAnsi="Garamond"/>
          <w:sz w:val="22"/>
          <w:szCs w:val="22"/>
        </w:rPr>
      </w:pPr>
      <w:r w:rsidRPr="002F5E00">
        <w:rPr>
          <w:rFonts w:ascii="Garamond" w:hAnsi="Garamond"/>
          <w:sz w:val="22"/>
          <w:szCs w:val="22"/>
        </w:rPr>
        <w:t>artistiques, historiques</w:t>
      </w:r>
      <w:r>
        <w:rPr>
          <w:rFonts w:ascii="Garamond" w:hAnsi="Garamond"/>
          <w:sz w:val="22"/>
          <w:szCs w:val="22"/>
        </w:rPr>
        <w:t>, o</w:t>
      </w:r>
      <w:r w:rsidRPr="002F5E00">
        <w:rPr>
          <w:rFonts w:ascii="Garamond" w:hAnsi="Garamond"/>
          <w:sz w:val="22"/>
          <w:szCs w:val="22"/>
        </w:rPr>
        <w:t>u d’actualité</w:t>
      </w:r>
      <w:r>
        <w:rPr>
          <w:rFonts w:ascii="Garamond" w:hAnsi="Garamond"/>
          <w:sz w:val="22"/>
          <w:szCs w:val="22"/>
        </w:rPr>
        <w:t xml:space="preserve">. </w:t>
      </w:r>
      <w:r w:rsidRPr="002F5E00">
        <w:rPr>
          <w:rFonts w:ascii="Garamond" w:hAnsi="Garamond"/>
          <w:sz w:val="22"/>
          <w:szCs w:val="22"/>
        </w:rPr>
        <w:t>Les candidats ne doivent pas oublier qu'il existe desréférences culturelles plus complexes et riches que d'autres. Les exemples tirés des jeux vidéo et des</w:t>
      </w:r>
      <w:r>
        <w:rPr>
          <w:rFonts w:ascii="Garamond" w:hAnsi="Garamond"/>
          <w:sz w:val="22"/>
          <w:szCs w:val="22"/>
        </w:rPr>
        <w:t xml:space="preserve"> </w:t>
      </w:r>
      <w:r w:rsidRPr="002F5E00">
        <w:rPr>
          <w:rFonts w:ascii="Garamond" w:hAnsi="Garamond"/>
          <w:sz w:val="22"/>
          <w:szCs w:val="22"/>
        </w:rPr>
        <w:t>séries, s'ils ne sont pas rédhibitoires en tant que tels, sont à manier avec précaution et int</w:t>
      </w:r>
      <w:r w:rsidR="00702AAD">
        <w:rPr>
          <w:rFonts w:ascii="Garamond" w:hAnsi="Garamond"/>
          <w:sz w:val="22"/>
          <w:szCs w:val="22"/>
        </w:rPr>
        <w:t>elligence.</w:t>
      </w:r>
    </w:p>
    <w:p w14:paraId="794EE612" w14:textId="77777777" w:rsidR="00F113F0" w:rsidRPr="002F5E00" w:rsidRDefault="00F113F0" w:rsidP="002F5E00">
      <w:pPr>
        <w:jc w:val="both"/>
        <w:rPr>
          <w:rFonts w:ascii="Garamond" w:hAnsi="Garamond"/>
          <w:sz w:val="22"/>
          <w:szCs w:val="22"/>
        </w:rPr>
      </w:pPr>
    </w:p>
    <w:sectPr w:rsidR="00F113F0" w:rsidRPr="002F5E00" w:rsidSect="002F5E0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0"/>
    <w:rsid w:val="000C2551"/>
    <w:rsid w:val="002F5E00"/>
    <w:rsid w:val="00350313"/>
    <w:rsid w:val="00585714"/>
    <w:rsid w:val="00702AAD"/>
    <w:rsid w:val="008148FD"/>
    <w:rsid w:val="00941299"/>
    <w:rsid w:val="00C7038E"/>
    <w:rsid w:val="00CF7FB0"/>
    <w:rsid w:val="00F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623432"/>
  <w15:chartTrackingRefBased/>
  <w15:docId w15:val="{317F9126-E13A-BB4F-A6D8-3D274816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E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E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E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E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E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E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1472</Words>
  <Characters>7967</Characters>
  <Application>Microsoft Office Word</Application>
  <DocSecurity>0</DocSecurity>
  <Lines>159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Lairie</dc:creator>
  <cp:keywords/>
  <dc:description/>
  <cp:lastModifiedBy>patrick Lairie</cp:lastModifiedBy>
  <cp:revision>1</cp:revision>
  <dcterms:created xsi:type="dcterms:W3CDTF">2026-02-16T13:08:00Z</dcterms:created>
  <dcterms:modified xsi:type="dcterms:W3CDTF">2026-02-16T13:20:00Z</dcterms:modified>
</cp:coreProperties>
</file>