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F910" w14:textId="1AB3A11A" w:rsidR="00272474" w:rsidRPr="00CD11AC" w:rsidRDefault="00CA6F11" w:rsidP="00725D0A">
      <w:pPr>
        <w:jc w:val="center"/>
        <w:rPr>
          <w:rFonts w:ascii="Century" w:hAnsi="Century"/>
          <w:b/>
          <w:sz w:val="32"/>
          <w:szCs w:val="32"/>
        </w:rPr>
      </w:pPr>
      <w:r>
        <w:rPr>
          <w:rFonts w:ascii="Century" w:hAnsi="Century"/>
          <w:b/>
          <w:sz w:val="32"/>
          <w:szCs w:val="32"/>
          <w:bdr w:val="single" w:sz="4" w:space="0" w:color="auto"/>
        </w:rPr>
        <w:t>DM6</w:t>
      </w:r>
    </w:p>
    <w:p w14:paraId="7A25A92F" w14:textId="77777777" w:rsidR="00C124B7" w:rsidRDefault="00C124B7" w:rsidP="00C124B7">
      <w:pPr>
        <w:spacing w:after="120"/>
        <w:jc w:val="center"/>
        <w:rPr>
          <w:rFonts w:ascii="Century" w:hAnsi="Century"/>
          <w:b/>
          <w:sz w:val="28"/>
          <w:szCs w:val="28"/>
          <w:u w:val="single"/>
        </w:rPr>
      </w:pPr>
      <w:r>
        <w:rPr>
          <w:rFonts w:ascii="Century" w:hAnsi="Century"/>
          <w:b/>
          <w:sz w:val="28"/>
          <w:szCs w:val="28"/>
          <w:u w:val="single"/>
        </w:rPr>
        <w:t>Chimie et énergie</w:t>
      </w:r>
    </w:p>
    <w:p w14:paraId="6F182BB5" w14:textId="77777777" w:rsidR="00725D0A" w:rsidRPr="00C124B7" w:rsidRDefault="00C124B7" w:rsidP="00725D0A">
      <w:pPr>
        <w:spacing w:after="120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Partie 1.</w:t>
      </w:r>
      <w:r w:rsidR="00725D0A" w:rsidRPr="00C124B7">
        <w:rPr>
          <w:rFonts w:ascii="Century" w:hAnsi="Century"/>
          <w:b/>
          <w:sz w:val="28"/>
          <w:szCs w:val="28"/>
        </w:rPr>
        <w:t xml:space="preserve"> </w:t>
      </w:r>
      <w:r>
        <w:rPr>
          <w:rFonts w:ascii="Century" w:hAnsi="Century"/>
          <w:b/>
          <w:sz w:val="28"/>
          <w:szCs w:val="28"/>
        </w:rPr>
        <w:t>La filière hydrogène</w:t>
      </w:r>
    </w:p>
    <w:p w14:paraId="0D51AE7A" w14:textId="77777777" w:rsidR="00725D0A" w:rsidRPr="00725D0A" w:rsidRDefault="00C124B7" w:rsidP="00725D0A">
      <w:pPr>
        <w:spacing w:after="120"/>
        <w:rPr>
          <w:rFonts w:ascii="Century" w:hAnsi="Century"/>
          <w:b/>
        </w:rPr>
      </w:pPr>
      <w:r w:rsidRPr="00C124B7">
        <w:rPr>
          <w:rFonts w:ascii="Century" w:hAnsi="Century"/>
          <w:b/>
        </w:rPr>
        <w:t xml:space="preserve">Production de dihydrogène par hydrolyse catalytique du </w:t>
      </w:r>
      <w:proofErr w:type="spellStart"/>
      <w:r w:rsidRPr="00C124B7">
        <w:rPr>
          <w:rFonts w:ascii="Century" w:hAnsi="Century"/>
          <w:b/>
        </w:rPr>
        <w:t>tétrahydruroborate</w:t>
      </w:r>
      <w:proofErr w:type="spellEnd"/>
      <w:r w:rsidRPr="00C124B7">
        <w:rPr>
          <w:rFonts w:ascii="Century" w:hAnsi="Century"/>
          <w:b/>
        </w:rPr>
        <w:t xml:space="preserve"> de sodium</w:t>
      </w:r>
    </w:p>
    <w:p w14:paraId="119F2B35" w14:textId="77777777" w:rsidR="00C124B7" w:rsidRPr="00C124B7" w:rsidRDefault="00C124B7" w:rsidP="00C124B7">
      <w:pPr>
        <w:spacing w:after="120"/>
        <w:rPr>
          <w:rFonts w:ascii="Century" w:hAnsi="Century"/>
        </w:rPr>
      </w:pPr>
      <w:r w:rsidRPr="00C124B7">
        <w:rPr>
          <w:rFonts w:ascii="Century" w:hAnsi="Century"/>
        </w:rPr>
        <w:t xml:space="preserve">« L’hydrogène est un des vecteurs énergétiques de demain même </w:t>
      </w:r>
      <w:r>
        <w:rPr>
          <w:rFonts w:ascii="Century" w:hAnsi="Century"/>
        </w:rPr>
        <w:t xml:space="preserve">si les complications liées à sa </w:t>
      </w:r>
      <w:r w:rsidRPr="00C124B7">
        <w:rPr>
          <w:rFonts w:ascii="Century" w:hAnsi="Century"/>
        </w:rPr>
        <w:t>production et à son stockage limitent son développe</w:t>
      </w:r>
      <w:r>
        <w:rPr>
          <w:rFonts w:ascii="Century" w:hAnsi="Century"/>
        </w:rPr>
        <w:t xml:space="preserve">ment. L’hydrolyse, catalysée du </w:t>
      </w:r>
      <w:proofErr w:type="spellStart"/>
      <w:r w:rsidRPr="00C124B7">
        <w:rPr>
          <w:rFonts w:ascii="Century" w:hAnsi="Century"/>
        </w:rPr>
        <w:t>tétrahydruroborate</w:t>
      </w:r>
      <w:proofErr w:type="spellEnd"/>
      <w:r w:rsidRPr="00C124B7">
        <w:rPr>
          <w:rFonts w:ascii="Century" w:hAnsi="Century"/>
        </w:rPr>
        <w:t xml:space="preserve"> de sodium (NaBH</w:t>
      </w:r>
      <w:r w:rsidRPr="00C124B7">
        <w:rPr>
          <w:rFonts w:ascii="Century" w:hAnsi="Century"/>
          <w:vertAlign w:val="subscript"/>
        </w:rPr>
        <w:t>4</w:t>
      </w:r>
      <w:r w:rsidRPr="00C124B7">
        <w:rPr>
          <w:rFonts w:ascii="Century" w:hAnsi="Century"/>
        </w:rPr>
        <w:t>), est une alternative intéressante pour le stockage et la</w:t>
      </w:r>
      <w:r>
        <w:rPr>
          <w:rFonts w:ascii="Century" w:hAnsi="Century"/>
        </w:rPr>
        <w:t xml:space="preserve"> </w:t>
      </w:r>
      <w:r w:rsidRPr="00C124B7">
        <w:rPr>
          <w:rFonts w:ascii="Century" w:hAnsi="Century"/>
        </w:rPr>
        <w:t>production embarqués d’hydrogène car, en présence d’eau et d’un catalyseur, cet hydrure chimique</w:t>
      </w:r>
      <w:r>
        <w:rPr>
          <w:rFonts w:ascii="Century" w:hAnsi="Century"/>
        </w:rPr>
        <w:t xml:space="preserve"> </w:t>
      </w:r>
      <w:r w:rsidRPr="00C124B7">
        <w:rPr>
          <w:rFonts w:ascii="Century" w:hAnsi="Century"/>
        </w:rPr>
        <w:t xml:space="preserve">produit de façon contrôlée de l’hydrogène pur et du </w:t>
      </w:r>
      <w:proofErr w:type="spellStart"/>
      <w:r w:rsidRPr="00C124B7">
        <w:rPr>
          <w:rFonts w:ascii="Century" w:hAnsi="Century"/>
        </w:rPr>
        <w:t>métaborate</w:t>
      </w:r>
      <w:proofErr w:type="spellEnd"/>
      <w:r w:rsidRPr="00C124B7">
        <w:rPr>
          <w:rFonts w:ascii="Century" w:hAnsi="Century"/>
        </w:rPr>
        <w:t xml:space="preserve"> de sodium.</w:t>
      </w:r>
      <w:r>
        <w:rPr>
          <w:rStyle w:val="Appelnotedebasdep"/>
          <w:rFonts w:ascii="Century" w:hAnsi="Century"/>
        </w:rPr>
        <w:footnoteReference w:id="1"/>
      </w:r>
      <w:r w:rsidRPr="00C124B7">
        <w:rPr>
          <w:rFonts w:ascii="Century" w:hAnsi="Century"/>
        </w:rPr>
        <w:t xml:space="preserve"> »</w:t>
      </w:r>
    </w:p>
    <w:p w14:paraId="22493C2A" w14:textId="77777777" w:rsidR="00725D0A" w:rsidRDefault="00C124B7" w:rsidP="00C124B7">
      <w:pPr>
        <w:spacing w:after="120"/>
        <w:rPr>
          <w:rFonts w:ascii="Century" w:hAnsi="Century"/>
        </w:rPr>
      </w:pPr>
      <w:r w:rsidRPr="00C124B7">
        <w:rPr>
          <w:rFonts w:ascii="Century" w:hAnsi="Century"/>
        </w:rPr>
        <w:t xml:space="preserve">En présence d’un catalyseur adapté, le </w:t>
      </w:r>
      <w:proofErr w:type="spellStart"/>
      <w:r w:rsidRPr="00C124B7">
        <w:rPr>
          <w:rFonts w:ascii="Century" w:hAnsi="Century"/>
        </w:rPr>
        <w:t>tétrahydruroborate</w:t>
      </w:r>
      <w:proofErr w:type="spellEnd"/>
      <w:r w:rsidRPr="00C124B7">
        <w:rPr>
          <w:rFonts w:ascii="Century" w:hAnsi="Century"/>
        </w:rPr>
        <w:t xml:space="preserve"> de sodi</w:t>
      </w:r>
      <w:r>
        <w:rPr>
          <w:rFonts w:ascii="Century" w:hAnsi="Century"/>
        </w:rPr>
        <w:t xml:space="preserve">um est décomposé par l’eau pour </w:t>
      </w:r>
      <w:r w:rsidRPr="00C124B7">
        <w:rPr>
          <w:rFonts w:ascii="Century" w:hAnsi="Century"/>
        </w:rPr>
        <w:t>produire du dihydro</w:t>
      </w:r>
      <w:r>
        <w:rPr>
          <w:rFonts w:ascii="Century" w:hAnsi="Century"/>
        </w:rPr>
        <w:t>gène selon l’équation suivante :</w:t>
      </w:r>
    </w:p>
    <w:p w14:paraId="6E95DBAA" w14:textId="77777777" w:rsidR="00725D0A" w:rsidRDefault="00000000" w:rsidP="00C124B7">
      <w:pPr>
        <w:spacing w:after="120"/>
        <w:jc w:val="center"/>
        <w:rPr>
          <w:rFonts w:ascii="Century" w:hAnsi="Century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Na</m:t>
              </m:r>
            </m:e>
            <m:sub>
              <m:r>
                <w:rPr>
                  <w:rFonts w:ascii="Cambria Math" w:hAnsi="Cambria Math"/>
                </w:rPr>
                <m:t>(aq)</m:t>
              </m:r>
            </m:sub>
            <m:sup>
              <m:r>
                <w:rPr>
                  <w:rFonts w:ascii="Cambria Math" w:hAnsi="Cambria Math"/>
                </w:rPr>
                <m:t>+</m:t>
              </m:r>
            </m:sup>
          </m:sSubSup>
          <m:r>
            <w:rPr>
              <w:rFonts w:ascii="Cambria Math" w:eastAsiaTheme="minorEastAsia" w:hAnsi="Cambria Math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BH</m:t>
              </m:r>
            </m:e>
            <m:sub>
              <m:r>
                <w:rPr>
                  <w:rFonts w:ascii="Cambria Math" w:eastAsiaTheme="minorEastAsia" w:hAnsi="Cambria Math"/>
                </w:rPr>
                <m:t>4(aq)</m:t>
              </m:r>
            </m:sub>
            <m:sup>
              <m:r>
                <w:rPr>
                  <w:rFonts w:ascii="Cambria Math" w:eastAsiaTheme="minorEastAsia" w:hAnsi="Cambria Math"/>
                </w:rPr>
                <m:t>-</m:t>
              </m:r>
            </m:sup>
          </m:sSubSup>
          <m:r>
            <w:rPr>
              <w:rFonts w:ascii="Cambria Math" w:eastAsiaTheme="minorEastAsia" w:hAnsi="Cambria Math"/>
            </w:rPr>
            <m:t xml:space="preserve">+ 2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O→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Na</m:t>
              </m:r>
            </m:e>
            <m:sub>
              <m:r>
                <w:rPr>
                  <w:rFonts w:ascii="Cambria Math" w:hAnsi="Cambria Math"/>
                </w:rPr>
                <m:t>(aq)</m:t>
              </m:r>
            </m:sub>
            <m:sup>
              <m:r>
                <w:rPr>
                  <w:rFonts w:ascii="Cambria Math" w:hAnsi="Cambria Math"/>
                </w:rPr>
                <m:t>+</m:t>
              </m:r>
            </m:sup>
          </m:sSub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BO</m:t>
              </m:r>
            </m:e>
            <m:sub>
              <m:r>
                <w:rPr>
                  <w:rFonts w:ascii="Cambria Math" w:eastAsiaTheme="minorEastAsia" w:hAnsi="Cambria Math"/>
                </w:rPr>
                <m:t>2(aq)</m:t>
              </m:r>
            </m:sub>
            <m:sup>
              <m:r>
                <w:rPr>
                  <w:rFonts w:ascii="Cambria Math" w:eastAsiaTheme="minorEastAsia" w:hAnsi="Cambria Math"/>
                </w:rPr>
                <m:t>-</m:t>
              </m:r>
            </m:sup>
          </m:sSubSup>
          <m:r>
            <w:rPr>
              <w:rFonts w:ascii="Cambria Math" w:eastAsiaTheme="minorEastAsia" w:hAnsi="Cambria Math"/>
            </w:rPr>
            <m:t xml:space="preserve">+4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2(g)</m:t>
              </m:r>
            </m:sub>
          </m:sSub>
        </m:oMath>
      </m:oMathPara>
    </w:p>
    <w:p w14:paraId="061902BF" w14:textId="1250B7E5" w:rsidR="00C124B7" w:rsidRPr="00C124B7" w:rsidRDefault="00C124B7" w:rsidP="00C124B7">
      <w:pPr>
        <w:spacing w:after="0"/>
        <w:rPr>
          <w:rFonts w:ascii="Century" w:hAnsi="Century"/>
        </w:rPr>
      </w:pPr>
      <w:r w:rsidRPr="00C124B7">
        <w:rPr>
          <w:rFonts w:ascii="Century" w:hAnsi="Century"/>
          <w:b/>
        </w:rPr>
        <w:t>Q1-</w:t>
      </w:r>
      <w:r w:rsidRPr="00C124B7">
        <w:rPr>
          <w:rFonts w:ascii="Century" w:hAnsi="Century"/>
        </w:rPr>
        <w:t xml:space="preserve"> Donner la configuration électronique du bore dans son état fondamental. Identifier les</w:t>
      </w:r>
      <w:r>
        <w:rPr>
          <w:rFonts w:ascii="Century" w:hAnsi="Century"/>
        </w:rPr>
        <w:t xml:space="preserve"> </w:t>
      </w:r>
      <w:r w:rsidRPr="00C124B7">
        <w:rPr>
          <w:rFonts w:ascii="Century" w:hAnsi="Century"/>
        </w:rPr>
        <w:t>électrons de valence.</w:t>
      </w:r>
    </w:p>
    <w:p w14:paraId="088B01C7" w14:textId="77777777" w:rsidR="00C124B7" w:rsidRPr="00C124B7" w:rsidRDefault="00C124B7" w:rsidP="00C124B7">
      <w:pPr>
        <w:spacing w:after="0"/>
        <w:rPr>
          <w:rFonts w:ascii="Century" w:hAnsi="Century"/>
        </w:rPr>
      </w:pPr>
      <w:r w:rsidRPr="00C124B7">
        <w:rPr>
          <w:rFonts w:ascii="Century" w:hAnsi="Century"/>
          <w:b/>
        </w:rPr>
        <w:t>Q2-</w:t>
      </w:r>
      <w:r w:rsidRPr="00C124B7">
        <w:rPr>
          <w:rFonts w:ascii="Century" w:hAnsi="Century"/>
        </w:rPr>
        <w:t xml:space="preserve"> Donner la représentation de Lewis de l’ion </w:t>
      </w:r>
      <w:proofErr w:type="spellStart"/>
      <w:r w:rsidRPr="00C124B7">
        <w:rPr>
          <w:rFonts w:ascii="Century" w:hAnsi="Century"/>
        </w:rPr>
        <w:t>tétrahydruroborate</w:t>
      </w:r>
      <w:proofErr w:type="spellEnd"/>
      <w:r w:rsidRPr="00C124B7">
        <w:rPr>
          <w:rFonts w:ascii="Century" w:hAnsi="Century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BH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  <m:sup>
            <m:r>
              <w:rPr>
                <w:rFonts w:ascii="Cambria Math" w:eastAsiaTheme="minorEastAsia" w:hAnsi="Cambria Math"/>
              </w:rPr>
              <m:t>-</m:t>
            </m:r>
          </m:sup>
        </m:sSubSup>
      </m:oMath>
      <w:r w:rsidRPr="00C124B7">
        <w:rPr>
          <w:rFonts w:ascii="Century" w:hAnsi="Century"/>
        </w:rPr>
        <w:t>. En déduire sa</w:t>
      </w:r>
      <w:r>
        <w:rPr>
          <w:rFonts w:ascii="Century" w:hAnsi="Century"/>
        </w:rPr>
        <w:t xml:space="preserve"> </w:t>
      </w:r>
      <w:r w:rsidRPr="00C124B7">
        <w:rPr>
          <w:rFonts w:ascii="Century" w:hAnsi="Century"/>
        </w:rPr>
        <w:t>géométrie. Justifier.</w:t>
      </w:r>
    </w:p>
    <w:p w14:paraId="57CFDF19" w14:textId="77777777" w:rsidR="00C124B7" w:rsidRPr="00C124B7" w:rsidRDefault="00C124B7" w:rsidP="00C124B7">
      <w:pPr>
        <w:spacing w:after="0"/>
        <w:rPr>
          <w:rFonts w:ascii="Century" w:hAnsi="Century"/>
        </w:rPr>
      </w:pPr>
      <w:r w:rsidRPr="00C124B7">
        <w:rPr>
          <w:rFonts w:ascii="Century" w:hAnsi="Century"/>
          <w:b/>
        </w:rPr>
        <w:t>Q3-</w:t>
      </w:r>
      <w:r w:rsidRPr="00C124B7">
        <w:rPr>
          <w:rFonts w:ascii="Century" w:hAnsi="Century"/>
        </w:rPr>
        <w:t xml:space="preserve"> Déterminer le volume </w:t>
      </w:r>
      <w:r w:rsidRPr="00C124B7">
        <w:rPr>
          <w:rFonts w:ascii="Century" w:hAnsi="Century"/>
          <w:i/>
        </w:rPr>
        <w:t>V(H</w:t>
      </w:r>
      <w:r w:rsidRPr="00C124B7">
        <w:rPr>
          <w:rFonts w:ascii="Century" w:hAnsi="Century"/>
          <w:i/>
          <w:vertAlign w:val="subscript"/>
        </w:rPr>
        <w:t>2</w:t>
      </w:r>
      <w:r w:rsidRPr="00C124B7">
        <w:rPr>
          <w:rFonts w:ascii="Century" w:hAnsi="Century"/>
          <w:i/>
        </w:rPr>
        <w:t>)</w:t>
      </w:r>
      <w:r w:rsidRPr="00C124B7">
        <w:rPr>
          <w:rFonts w:ascii="Century" w:hAnsi="Century"/>
        </w:rPr>
        <w:t xml:space="preserve"> de dihydrogène que </w:t>
      </w:r>
      <w:r>
        <w:rPr>
          <w:rFonts w:ascii="Century" w:hAnsi="Century"/>
        </w:rPr>
        <w:t xml:space="preserve">l’on peut générer à partir de </w:t>
      </w:r>
      <w:r w:rsidRPr="00C124B7">
        <w:rPr>
          <w:rFonts w:ascii="Century" w:hAnsi="Century"/>
          <w:i/>
        </w:rPr>
        <w:t>V = 1,0 L</w:t>
      </w:r>
      <w:r w:rsidRPr="00C124B7">
        <w:rPr>
          <w:rFonts w:ascii="Century" w:hAnsi="Century"/>
        </w:rPr>
        <w:t xml:space="preserve"> de</w:t>
      </w:r>
      <w:r>
        <w:rPr>
          <w:rFonts w:ascii="Century" w:hAnsi="Century"/>
        </w:rPr>
        <w:t xml:space="preserve"> </w:t>
      </w:r>
      <w:r w:rsidRPr="00C124B7">
        <w:rPr>
          <w:rFonts w:ascii="Century" w:hAnsi="Century"/>
        </w:rPr>
        <w:t>solu</w:t>
      </w:r>
      <w:r>
        <w:rPr>
          <w:rFonts w:ascii="Century" w:hAnsi="Century"/>
        </w:rPr>
        <w:t xml:space="preserve">tion aqueuse de concentration </w:t>
      </w:r>
      <w:r w:rsidRPr="00C124B7">
        <w:rPr>
          <w:rFonts w:ascii="Century" w:hAnsi="Century"/>
          <w:i/>
        </w:rPr>
        <w:t>C = 1,0 mol·L</w:t>
      </w:r>
      <w:r w:rsidRPr="00C124B7">
        <w:rPr>
          <w:rFonts w:ascii="Century" w:hAnsi="Century"/>
          <w:i/>
          <w:vertAlign w:val="superscript"/>
        </w:rPr>
        <w:t>–1</w:t>
      </w:r>
      <w:r w:rsidRPr="00C124B7">
        <w:rPr>
          <w:rFonts w:ascii="Century" w:hAnsi="Century"/>
        </w:rPr>
        <w:t xml:space="preserve"> en ions sodium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Na</m:t>
            </m:r>
          </m:e>
          <m:sub>
            <m:r>
              <w:rPr>
                <w:rFonts w:ascii="Cambria Math" w:hAnsi="Cambria Math"/>
              </w:rPr>
              <m:t>(aq)</m:t>
            </m:r>
          </m:sub>
          <m:sup>
            <m:r>
              <w:rPr>
                <w:rFonts w:ascii="Cambria Math" w:hAnsi="Cambria Math"/>
              </w:rPr>
              <m:t>+</m:t>
            </m:r>
          </m:sup>
        </m:sSubSup>
      </m:oMath>
      <w:r w:rsidRPr="00C124B7">
        <w:rPr>
          <w:rFonts w:ascii="Century" w:hAnsi="Century"/>
        </w:rPr>
        <w:t xml:space="preserve"> et en ions</w:t>
      </w:r>
      <w:r>
        <w:rPr>
          <w:rFonts w:ascii="Century" w:hAnsi="Century"/>
        </w:rPr>
        <w:t xml:space="preserve"> </w:t>
      </w:r>
      <w:proofErr w:type="spellStart"/>
      <w:r w:rsidRPr="00C124B7">
        <w:rPr>
          <w:rFonts w:ascii="Century" w:hAnsi="Century"/>
        </w:rPr>
        <w:t>tétrahydruroborate</w:t>
      </w:r>
      <w:proofErr w:type="spellEnd"/>
      <w:r w:rsidRPr="00C124B7">
        <w:rPr>
          <w:rFonts w:ascii="Century" w:hAnsi="Century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BH</m:t>
            </m:r>
          </m:e>
          <m:sub>
            <m:r>
              <w:rPr>
                <w:rFonts w:ascii="Cambria Math" w:eastAsiaTheme="minorEastAsia" w:hAnsi="Cambria Math"/>
              </w:rPr>
              <m:t>4(aq)</m:t>
            </m:r>
          </m:sub>
          <m:sup>
            <m:r>
              <w:rPr>
                <w:rFonts w:ascii="Cambria Math" w:eastAsiaTheme="minorEastAsia" w:hAnsi="Cambria Math"/>
              </w:rPr>
              <m:t>-</m:t>
            </m:r>
          </m:sup>
        </m:sSubSup>
      </m:oMath>
      <w:r w:rsidRPr="00C124B7">
        <w:rPr>
          <w:rFonts w:ascii="Century" w:hAnsi="Century"/>
        </w:rPr>
        <w:t xml:space="preserve"> (on se placera dans les conditions standard de température et de</w:t>
      </w:r>
      <w:r>
        <w:rPr>
          <w:rFonts w:ascii="Century" w:hAnsi="Century"/>
        </w:rPr>
        <w:t xml:space="preserve"> pression </w:t>
      </w:r>
      <w:r w:rsidRPr="00C124B7">
        <w:rPr>
          <w:rFonts w:ascii="Century" w:hAnsi="Century"/>
        </w:rPr>
        <w:t xml:space="preserve">: </w:t>
      </w:r>
      <w:r w:rsidRPr="00C124B7">
        <w:rPr>
          <w:rFonts w:ascii="Century" w:hAnsi="Century"/>
          <w:i/>
        </w:rPr>
        <w:t>T = 25 °C</w:t>
      </w:r>
      <w:r w:rsidRPr="00C124B7">
        <w:rPr>
          <w:rFonts w:ascii="Century" w:hAnsi="Century"/>
        </w:rPr>
        <w:t xml:space="preserve"> et </w:t>
      </w:r>
      <w:r w:rsidRPr="00C124B7">
        <w:rPr>
          <w:rFonts w:ascii="Century" w:hAnsi="Century"/>
          <w:i/>
        </w:rPr>
        <w:t>P = 1 bar</w:t>
      </w:r>
      <w:r w:rsidRPr="00C124B7">
        <w:rPr>
          <w:rFonts w:ascii="Century" w:hAnsi="Century"/>
        </w:rPr>
        <w:t>).</w:t>
      </w:r>
    </w:p>
    <w:p w14:paraId="5CAE9793" w14:textId="77777777" w:rsidR="00C124B7" w:rsidRDefault="00C124B7" w:rsidP="00CA7E84">
      <w:pPr>
        <w:spacing w:after="120"/>
        <w:rPr>
          <w:rFonts w:ascii="Century" w:hAnsi="Century"/>
        </w:rPr>
      </w:pPr>
      <w:r w:rsidRPr="00C124B7">
        <w:rPr>
          <w:rFonts w:ascii="Century" w:hAnsi="Century"/>
          <w:b/>
        </w:rPr>
        <w:t>Q4-</w:t>
      </w:r>
      <w:r w:rsidRPr="00C124B7">
        <w:rPr>
          <w:rFonts w:ascii="Century" w:hAnsi="Century"/>
        </w:rPr>
        <w:t xml:space="preserve"> La réaction d’hydrolyse peut être catalysée par des catalyseurs à base de platine. Le volume</w:t>
      </w:r>
      <w:r>
        <w:rPr>
          <w:rFonts w:ascii="Century" w:hAnsi="Century"/>
        </w:rPr>
        <w:t xml:space="preserve"> </w:t>
      </w:r>
      <w:r w:rsidRPr="00C124B7">
        <w:rPr>
          <w:rFonts w:ascii="Century" w:hAnsi="Century"/>
        </w:rPr>
        <w:t>de dihydrogène obtenu serait-il plus élevé si on réalise la réaction en présence de platine ? Justifier.</w:t>
      </w:r>
    </w:p>
    <w:p w14:paraId="30F9C5E9" w14:textId="77777777" w:rsidR="00725D0A" w:rsidRDefault="00C124B7" w:rsidP="00CA7E84">
      <w:pPr>
        <w:spacing w:after="120"/>
        <w:rPr>
          <w:rFonts w:ascii="Century" w:hAnsi="Century"/>
          <w:b/>
        </w:rPr>
      </w:pPr>
      <w:r w:rsidRPr="00C124B7">
        <w:rPr>
          <w:rFonts w:ascii="Century" w:hAnsi="Century"/>
          <w:b/>
        </w:rPr>
        <w:t>Stockage du dihydrogène</w:t>
      </w:r>
    </w:p>
    <w:p w14:paraId="792A3782" w14:textId="77777777" w:rsidR="00C124B7" w:rsidRPr="00C124B7" w:rsidRDefault="00C124B7" w:rsidP="00CA7E84">
      <w:pPr>
        <w:spacing w:after="120"/>
        <w:rPr>
          <w:rFonts w:ascii="Century" w:hAnsi="Century"/>
        </w:rPr>
      </w:pPr>
      <w:r w:rsidRPr="00C124B7">
        <w:rPr>
          <w:rFonts w:ascii="Century" w:hAnsi="Century"/>
        </w:rPr>
        <w:t xml:space="preserve">S’il n’est pas préparé « à la demande » comme avec l’hydrolyse du </w:t>
      </w:r>
      <w:proofErr w:type="spellStart"/>
      <w:r w:rsidRPr="00C124B7">
        <w:rPr>
          <w:rFonts w:ascii="Century" w:hAnsi="Century"/>
        </w:rPr>
        <w:t>t</w:t>
      </w:r>
      <w:r>
        <w:rPr>
          <w:rFonts w:ascii="Century" w:hAnsi="Century"/>
        </w:rPr>
        <w:t>étrahydruroborate</w:t>
      </w:r>
      <w:proofErr w:type="spellEnd"/>
      <w:r>
        <w:rPr>
          <w:rFonts w:ascii="Century" w:hAnsi="Century"/>
        </w:rPr>
        <w:t xml:space="preserve"> de sodium, un </w:t>
      </w:r>
      <w:r w:rsidRPr="00C124B7">
        <w:rPr>
          <w:rFonts w:ascii="Century" w:hAnsi="Century"/>
        </w:rPr>
        <w:t>des problèmes de l’utilisation du dihydrogène comme vecteur én</w:t>
      </w:r>
      <w:r>
        <w:rPr>
          <w:rFonts w:ascii="Century" w:hAnsi="Century"/>
        </w:rPr>
        <w:t xml:space="preserve">ergétique est son stockage. Des </w:t>
      </w:r>
      <w:r w:rsidRPr="00C124B7">
        <w:rPr>
          <w:rFonts w:ascii="Century" w:hAnsi="Century"/>
        </w:rPr>
        <w:t xml:space="preserve">alliages à base de fer et de titane permettent le stockage du </w:t>
      </w:r>
      <w:r>
        <w:rPr>
          <w:rFonts w:ascii="Century" w:hAnsi="Century"/>
        </w:rPr>
        <w:t xml:space="preserve">dihydrogène. Dans ces composés, </w:t>
      </w:r>
      <w:r w:rsidRPr="00C124B7">
        <w:rPr>
          <w:rFonts w:ascii="Century" w:hAnsi="Century"/>
        </w:rPr>
        <w:t>l’hydrogène est stocké sous forme atomique (H) et non pas moléculaire (H</w:t>
      </w:r>
      <w:r w:rsidRPr="00C124B7">
        <w:rPr>
          <w:rFonts w:ascii="Century" w:hAnsi="Century"/>
          <w:vertAlign w:val="subscript"/>
        </w:rPr>
        <w:t>2</w:t>
      </w:r>
      <w:r w:rsidRPr="00C124B7">
        <w:rPr>
          <w:rFonts w:ascii="Century" w:hAnsi="Century"/>
        </w:rPr>
        <w:t>). L’alliage utilisé ici a une</w:t>
      </w:r>
      <w:r>
        <w:rPr>
          <w:rFonts w:ascii="Century" w:hAnsi="Century"/>
        </w:rPr>
        <w:t xml:space="preserve"> </w:t>
      </w:r>
      <w:r w:rsidRPr="00C124B7">
        <w:rPr>
          <w:rFonts w:ascii="Century" w:hAnsi="Century"/>
        </w:rPr>
        <w:t>structure cubique dans laquelle les atomes de fer occupent les sommets de la maille cubique et un</w:t>
      </w:r>
      <w:r>
        <w:rPr>
          <w:rFonts w:ascii="Century" w:hAnsi="Century"/>
        </w:rPr>
        <w:t xml:space="preserve"> </w:t>
      </w:r>
      <w:r w:rsidRPr="00C124B7">
        <w:rPr>
          <w:rFonts w:ascii="Century" w:hAnsi="Century"/>
        </w:rPr>
        <w:t xml:space="preserve">atome de titane son centre. Les sites octaédriques de </w:t>
      </w:r>
      <w:r>
        <w:rPr>
          <w:rFonts w:ascii="Century" w:hAnsi="Century"/>
        </w:rPr>
        <w:t>la structure sont de deux types </w:t>
      </w:r>
      <w:r w:rsidRPr="00C124B7">
        <w:rPr>
          <w:rFonts w:ascii="Century" w:hAnsi="Century"/>
        </w:rPr>
        <w:t>: type A (situés au</w:t>
      </w:r>
      <w:r>
        <w:rPr>
          <w:rFonts w:ascii="Century" w:hAnsi="Century"/>
        </w:rPr>
        <w:t xml:space="preserve"> </w:t>
      </w:r>
      <w:r w:rsidRPr="00C124B7">
        <w:rPr>
          <w:rFonts w:ascii="Century" w:hAnsi="Century"/>
        </w:rPr>
        <w:t>milieu de chaque arête) et type B (situés au centre de chaque face).</w:t>
      </w:r>
    </w:p>
    <w:p w14:paraId="63A07B72" w14:textId="77777777" w:rsidR="00CA7E84" w:rsidRPr="00CA7E84" w:rsidRDefault="00CA7E84" w:rsidP="00CA7E84">
      <w:pPr>
        <w:spacing w:after="0"/>
        <w:rPr>
          <w:rFonts w:ascii="Century" w:hAnsi="Century"/>
        </w:rPr>
      </w:pPr>
      <w:r w:rsidRPr="00CA7E84">
        <w:rPr>
          <w:rFonts w:ascii="Century" w:hAnsi="Century"/>
          <w:b/>
        </w:rPr>
        <w:t>Q5-</w:t>
      </w:r>
      <w:r w:rsidRPr="00CA7E84">
        <w:rPr>
          <w:rFonts w:ascii="Century" w:hAnsi="Century"/>
        </w:rPr>
        <w:t xml:space="preserve"> Représenter la maille cubique de l’alliage de fer/titane.</w:t>
      </w:r>
    </w:p>
    <w:p w14:paraId="1EACC31F" w14:textId="77777777" w:rsidR="00CA7E84" w:rsidRPr="00CA7E84" w:rsidRDefault="00CA7E84" w:rsidP="00CA7E84">
      <w:pPr>
        <w:spacing w:after="0"/>
        <w:rPr>
          <w:rFonts w:ascii="Century" w:hAnsi="Century"/>
        </w:rPr>
      </w:pPr>
      <w:r w:rsidRPr="00CA7E84">
        <w:rPr>
          <w:rFonts w:ascii="Century" w:hAnsi="Century"/>
          <w:b/>
        </w:rPr>
        <w:t>Q6-</w:t>
      </w:r>
      <w:r w:rsidRPr="00CA7E84">
        <w:rPr>
          <w:rFonts w:ascii="Century" w:hAnsi="Century"/>
        </w:rPr>
        <w:t xml:space="preserve"> Calculer le paramètre de maille a associé à cette maille sachant que les atomes de fer et de</w:t>
      </w:r>
      <w:r>
        <w:rPr>
          <w:rFonts w:ascii="Century" w:hAnsi="Century"/>
        </w:rPr>
        <w:t xml:space="preserve"> </w:t>
      </w:r>
      <w:r w:rsidRPr="00CA7E84">
        <w:rPr>
          <w:rFonts w:ascii="Century" w:hAnsi="Century"/>
        </w:rPr>
        <w:t>titane sont en contact mais pas les atomes de fer entre eux.</w:t>
      </w:r>
    </w:p>
    <w:p w14:paraId="64C635A8" w14:textId="77777777" w:rsidR="00CA7E84" w:rsidRPr="00CA7E84" w:rsidRDefault="00CA7E84" w:rsidP="00CA7E84">
      <w:pPr>
        <w:spacing w:after="0"/>
        <w:rPr>
          <w:rFonts w:ascii="Century" w:hAnsi="Century"/>
        </w:rPr>
      </w:pPr>
      <w:r w:rsidRPr="00CA7E84">
        <w:rPr>
          <w:rFonts w:ascii="Century" w:hAnsi="Century"/>
          <w:b/>
        </w:rPr>
        <w:t>Q7-</w:t>
      </w:r>
      <w:r w:rsidRPr="00CA7E84">
        <w:rPr>
          <w:rFonts w:ascii="Century" w:hAnsi="Century"/>
        </w:rPr>
        <w:t xml:space="preserve"> Les sites octaédriques de type B sont-ils des octaèdres réguliers ? Justifier. Ces derniers</w:t>
      </w:r>
      <w:r>
        <w:rPr>
          <w:rFonts w:ascii="Century" w:hAnsi="Century"/>
        </w:rPr>
        <w:t xml:space="preserve"> </w:t>
      </w:r>
      <w:r w:rsidRPr="00CA7E84">
        <w:rPr>
          <w:rFonts w:ascii="Century" w:hAnsi="Century"/>
        </w:rPr>
        <w:t>seront-t-ils déformés après introduction d’un atome d’hydrogène ? Justifier.</w:t>
      </w:r>
    </w:p>
    <w:p w14:paraId="23054D1E" w14:textId="77777777" w:rsidR="00CA7E84" w:rsidRPr="00CA7E84" w:rsidRDefault="00CA7E84" w:rsidP="00CA7E84">
      <w:pPr>
        <w:spacing w:after="0"/>
        <w:rPr>
          <w:rFonts w:ascii="Century" w:hAnsi="Century"/>
        </w:rPr>
      </w:pPr>
      <w:r w:rsidRPr="00CA7E84">
        <w:rPr>
          <w:rFonts w:ascii="Century" w:hAnsi="Century"/>
          <w:b/>
        </w:rPr>
        <w:lastRenderedPageBreak/>
        <w:t>Q8-</w:t>
      </w:r>
      <w:r w:rsidRPr="00CA7E84">
        <w:rPr>
          <w:rFonts w:ascii="Century" w:hAnsi="Century"/>
        </w:rPr>
        <w:t xml:space="preserve"> Des atomes d’hydrogène occupent la totalité des sites octaédrique de type B. Indiquer le</w:t>
      </w:r>
      <w:r>
        <w:rPr>
          <w:rFonts w:ascii="Century" w:hAnsi="Century"/>
        </w:rPr>
        <w:t xml:space="preserve"> </w:t>
      </w:r>
      <w:r w:rsidRPr="00CA7E84">
        <w:rPr>
          <w:rFonts w:ascii="Century" w:hAnsi="Century"/>
        </w:rPr>
        <w:t>nombre d’atomes de fer, de titane et d’hydrogène par maille. Justifier. En déduire la formule de cet</w:t>
      </w:r>
      <w:r>
        <w:rPr>
          <w:rFonts w:ascii="Century" w:hAnsi="Century"/>
        </w:rPr>
        <w:t xml:space="preserve"> </w:t>
      </w:r>
      <w:r w:rsidRPr="00CA7E84">
        <w:rPr>
          <w:rFonts w:ascii="Century" w:hAnsi="Century"/>
        </w:rPr>
        <w:t>« alliage hydrogéné ».</w:t>
      </w:r>
    </w:p>
    <w:p w14:paraId="1D6C3EA2" w14:textId="77777777" w:rsidR="00725D0A" w:rsidRDefault="00CA7E84" w:rsidP="00CA7E84">
      <w:pPr>
        <w:spacing w:after="240"/>
        <w:rPr>
          <w:rFonts w:ascii="Century" w:hAnsi="Century"/>
        </w:rPr>
      </w:pPr>
      <w:r w:rsidRPr="00CA7E84">
        <w:rPr>
          <w:rFonts w:ascii="Century" w:hAnsi="Century"/>
          <w:b/>
        </w:rPr>
        <w:t>Q9-</w:t>
      </w:r>
      <w:r w:rsidRPr="00CA7E84">
        <w:rPr>
          <w:rFonts w:ascii="Century" w:hAnsi="Century"/>
        </w:rPr>
        <w:t xml:space="preserve"> Calculer le volume molaire </w:t>
      </w:r>
      <w:proofErr w:type="spellStart"/>
      <w:r w:rsidRPr="00CA7E84">
        <w:rPr>
          <w:rFonts w:ascii="Century" w:hAnsi="Century"/>
          <w:i/>
        </w:rPr>
        <w:t>V</w:t>
      </w:r>
      <w:r w:rsidRPr="00CA7E84">
        <w:rPr>
          <w:rFonts w:ascii="Century" w:hAnsi="Century"/>
          <w:i/>
          <w:vertAlign w:val="subscript"/>
        </w:rPr>
        <w:t>m</w:t>
      </w:r>
      <w:proofErr w:type="spellEnd"/>
      <w:r w:rsidRPr="00CA7E84">
        <w:rPr>
          <w:rFonts w:ascii="Century" w:hAnsi="Century"/>
          <w:i/>
        </w:rPr>
        <w:t xml:space="preserve">’ </w:t>
      </w:r>
      <w:r w:rsidRPr="00CA7E84">
        <w:rPr>
          <w:rFonts w:ascii="Century" w:hAnsi="Century"/>
        </w:rPr>
        <w:t>du dihydrogène H</w:t>
      </w:r>
      <w:r w:rsidRPr="00CA7E84">
        <w:rPr>
          <w:rFonts w:ascii="Century" w:hAnsi="Century"/>
          <w:vertAlign w:val="subscript"/>
        </w:rPr>
        <w:t>2</w:t>
      </w:r>
      <w:r w:rsidRPr="00CA7E84">
        <w:rPr>
          <w:rFonts w:ascii="Century" w:hAnsi="Century"/>
        </w:rPr>
        <w:t xml:space="preserve"> stocké dans ce composé en supposant</w:t>
      </w:r>
      <w:r>
        <w:rPr>
          <w:rFonts w:ascii="Century" w:hAnsi="Century"/>
        </w:rPr>
        <w:t xml:space="preserve"> </w:t>
      </w:r>
      <w:r w:rsidRPr="00CA7E84">
        <w:rPr>
          <w:rFonts w:ascii="Century" w:hAnsi="Century"/>
        </w:rPr>
        <w:t xml:space="preserve">qu’il en occupe tout le volume (on prendra pour valeur de </w:t>
      </w:r>
      <w:r w:rsidRPr="00CA7E84">
        <w:rPr>
          <w:rFonts w:ascii="Century" w:hAnsi="Century"/>
          <w:i/>
        </w:rPr>
        <w:t>a</w:t>
      </w:r>
      <w:r w:rsidRPr="00CA7E84">
        <w:rPr>
          <w:rFonts w:ascii="Century" w:hAnsi="Century"/>
        </w:rPr>
        <w:t xml:space="preserve"> celle trouvée à la question 6).</w:t>
      </w:r>
      <w:r>
        <w:rPr>
          <w:rFonts w:ascii="Century" w:hAnsi="Century"/>
        </w:rPr>
        <w:t xml:space="preserve"> </w:t>
      </w:r>
      <w:r w:rsidRPr="00CA7E84">
        <w:rPr>
          <w:rFonts w:ascii="Century" w:hAnsi="Century"/>
        </w:rPr>
        <w:t xml:space="preserve">Comparer au volume molaire </w:t>
      </w:r>
      <w:proofErr w:type="spellStart"/>
      <w:r w:rsidRPr="00CA7E84">
        <w:rPr>
          <w:rFonts w:ascii="Century" w:hAnsi="Century"/>
          <w:i/>
        </w:rPr>
        <w:t>V</w:t>
      </w:r>
      <w:r w:rsidRPr="00CA7E84">
        <w:rPr>
          <w:rFonts w:ascii="Century" w:hAnsi="Century"/>
          <w:i/>
          <w:vertAlign w:val="subscript"/>
        </w:rPr>
        <w:t>m</w:t>
      </w:r>
      <w:proofErr w:type="spellEnd"/>
      <w:r>
        <w:rPr>
          <w:rFonts w:ascii="Century" w:hAnsi="Century"/>
        </w:rPr>
        <w:t xml:space="preserve"> d’un gaz parfait à </w:t>
      </w:r>
      <w:r w:rsidRPr="00CA7E84">
        <w:rPr>
          <w:rFonts w:ascii="Century" w:hAnsi="Century"/>
          <w:i/>
        </w:rPr>
        <w:t>T = 25°C</w:t>
      </w:r>
      <w:r w:rsidRPr="00CA7E84">
        <w:rPr>
          <w:rFonts w:ascii="Century" w:hAnsi="Century"/>
        </w:rPr>
        <w:t xml:space="preserve"> et </w:t>
      </w:r>
      <w:r w:rsidRPr="00CA7E84">
        <w:rPr>
          <w:rFonts w:ascii="Century" w:hAnsi="Century"/>
          <w:i/>
        </w:rPr>
        <w:t>P = 1 bar</w:t>
      </w:r>
      <w:r w:rsidRPr="00CA7E84">
        <w:rPr>
          <w:rFonts w:ascii="Century" w:hAnsi="Century"/>
        </w:rPr>
        <w:t>. Conclure.</w:t>
      </w:r>
    </w:p>
    <w:p w14:paraId="5CAB924F" w14:textId="77777777" w:rsidR="00725D0A" w:rsidRDefault="00CA7E84" w:rsidP="00CA7E84">
      <w:pPr>
        <w:spacing w:after="120"/>
        <w:rPr>
          <w:rFonts w:ascii="Century" w:hAnsi="Century"/>
        </w:rPr>
      </w:pPr>
      <w:r>
        <w:rPr>
          <w:rFonts w:ascii="Century" w:hAnsi="Century"/>
          <w:b/>
          <w:sz w:val="28"/>
          <w:szCs w:val="28"/>
        </w:rPr>
        <w:t xml:space="preserve">Partie 2. </w:t>
      </w:r>
      <w:r w:rsidRPr="00CA7E84">
        <w:rPr>
          <w:rFonts w:ascii="Century" w:hAnsi="Century"/>
          <w:b/>
          <w:sz w:val="28"/>
          <w:szCs w:val="28"/>
        </w:rPr>
        <w:t>Piles zinc–air</w:t>
      </w:r>
    </w:p>
    <w:p w14:paraId="3D18C926" w14:textId="77777777" w:rsidR="00725D0A" w:rsidRDefault="00CA7E84" w:rsidP="00CA7E84">
      <w:pPr>
        <w:spacing w:after="120"/>
        <w:rPr>
          <w:rFonts w:ascii="Century" w:hAnsi="Century"/>
        </w:rPr>
      </w:pPr>
      <w:r w:rsidRPr="00CA7E84">
        <w:rPr>
          <w:rFonts w:ascii="Century" w:hAnsi="Century"/>
        </w:rPr>
        <w:t>Les piles zinc-air sont des accumulateurs tirant leur énergie de l'oxyd</w:t>
      </w:r>
      <w:r>
        <w:rPr>
          <w:rFonts w:ascii="Century" w:hAnsi="Century"/>
        </w:rPr>
        <w:t xml:space="preserve">ation du zinc avec le dioxygène </w:t>
      </w:r>
      <w:r w:rsidRPr="00CA7E84">
        <w:rPr>
          <w:rFonts w:ascii="Century" w:hAnsi="Century"/>
        </w:rPr>
        <w:t>de l'air ambiant (Figure 1). Ces piles possèdent de hautes densités én</w:t>
      </w:r>
      <w:r>
        <w:rPr>
          <w:rFonts w:ascii="Century" w:hAnsi="Century"/>
        </w:rPr>
        <w:t xml:space="preserve">ergétiques et sont peu chères. </w:t>
      </w:r>
      <w:r w:rsidRPr="00CA7E84">
        <w:rPr>
          <w:rFonts w:ascii="Century" w:hAnsi="Century"/>
        </w:rPr>
        <w:t>Leur format varie des piles boutons pour les audioprothèses à des forma</w:t>
      </w:r>
      <w:r>
        <w:rPr>
          <w:rFonts w:ascii="Century" w:hAnsi="Century"/>
        </w:rPr>
        <w:t xml:space="preserve">ts intermédiaires, pouvant être </w:t>
      </w:r>
      <w:r w:rsidRPr="00CA7E84">
        <w:rPr>
          <w:rFonts w:ascii="Century" w:hAnsi="Century"/>
        </w:rPr>
        <w:t>utilisés dans des appareils tels les caméras, jusqu’aux grands formats</w:t>
      </w:r>
      <w:r>
        <w:rPr>
          <w:rFonts w:ascii="Century" w:hAnsi="Century"/>
        </w:rPr>
        <w:t xml:space="preserve"> utilisables dans les véhicules </w:t>
      </w:r>
      <w:r w:rsidRPr="00CA7E84">
        <w:rPr>
          <w:rFonts w:ascii="Century" w:hAnsi="Century"/>
        </w:rPr>
        <w:t>électriques.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6"/>
        <w:gridCol w:w="4212"/>
      </w:tblGrid>
      <w:tr w:rsidR="00CA7E84" w14:paraId="5606C529" w14:textId="77777777" w:rsidTr="00CA7E84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14:paraId="7AE99895" w14:textId="77777777" w:rsidR="00CA7E84" w:rsidRDefault="00CA7E84" w:rsidP="00CA7E84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  <w:lang w:eastAsia="fr-FR"/>
              </w:rPr>
              <w:drawing>
                <wp:inline distT="0" distB="0" distL="0" distR="0" wp14:anchorId="260F3A15" wp14:editId="3133FF30">
                  <wp:extent cx="2886075" cy="1577721"/>
                  <wp:effectExtent l="19050" t="0" r="9525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991" cy="1582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8F8DE7" w14:textId="77777777" w:rsidR="00CA7E84" w:rsidRDefault="00CA7E84" w:rsidP="00CA7E84">
            <w:pPr>
              <w:rPr>
                <w:rFonts w:ascii="Century" w:hAnsi="Century"/>
              </w:rPr>
            </w:pPr>
            <w:r w:rsidRPr="00CA7E84">
              <w:rPr>
                <w:rFonts w:ascii="Century" w:hAnsi="Century"/>
              </w:rPr>
              <w:t>A</w:t>
            </w:r>
            <w:r w:rsidRPr="00CA7E84">
              <w:rPr>
                <w:rFonts w:ascii="Century" w:hAnsi="Century"/>
                <w:vertAlign w:val="subscript"/>
              </w:rPr>
              <w:t>1</w:t>
            </w:r>
            <w:r w:rsidRPr="00CA7E84">
              <w:rPr>
                <w:rFonts w:ascii="Century" w:hAnsi="Century"/>
              </w:rPr>
              <w:t xml:space="preserve"> et A</w:t>
            </w:r>
            <w:r w:rsidRPr="00CA7E84">
              <w:rPr>
                <w:rFonts w:ascii="Century" w:hAnsi="Century"/>
                <w:vertAlign w:val="subscript"/>
              </w:rPr>
              <w:t>2</w:t>
            </w:r>
            <w:r>
              <w:rPr>
                <w:rFonts w:ascii="Century" w:hAnsi="Century"/>
              </w:rPr>
              <w:t> : revêtements métalliques, B : joint isolant, C </w:t>
            </w:r>
            <w:r w:rsidRPr="00CA7E84">
              <w:rPr>
                <w:rFonts w:ascii="Century" w:hAnsi="Century"/>
              </w:rPr>
              <w:t>:</w:t>
            </w:r>
            <w:r>
              <w:rPr>
                <w:rFonts w:ascii="Century" w:hAnsi="Century"/>
              </w:rPr>
              <w:t xml:space="preserve"> orifice d’entrée d’air, D </w:t>
            </w:r>
            <w:r w:rsidRPr="00CA7E84">
              <w:rPr>
                <w:rFonts w:ascii="Century" w:hAnsi="Century"/>
              </w:rPr>
              <w:t>: membrane semi-perméable,</w:t>
            </w:r>
            <w:r>
              <w:rPr>
                <w:rFonts w:ascii="Century" w:hAnsi="Century"/>
              </w:rPr>
              <w:t xml:space="preserve"> E : dioxygène (air), F : membrane hydrophobe, G </w:t>
            </w:r>
            <w:r w:rsidRPr="00CA7E84">
              <w:rPr>
                <w:rFonts w:ascii="Century" w:hAnsi="Century"/>
              </w:rPr>
              <w:t>:</w:t>
            </w:r>
            <w:r>
              <w:rPr>
                <w:rFonts w:ascii="Century" w:hAnsi="Century"/>
              </w:rPr>
              <w:t xml:space="preserve"> séparateur, H </w:t>
            </w:r>
            <w:r w:rsidRPr="00CA7E84">
              <w:rPr>
                <w:rFonts w:ascii="Century" w:hAnsi="Century"/>
              </w:rPr>
              <w:t>: poudre de zinc et électrolyte (solution</w:t>
            </w:r>
            <w:r>
              <w:rPr>
                <w:rFonts w:ascii="Century" w:hAnsi="Century"/>
              </w:rPr>
              <w:t xml:space="preserve"> </w:t>
            </w:r>
            <w:r w:rsidRPr="00CA7E84">
              <w:rPr>
                <w:rFonts w:ascii="Century" w:hAnsi="Century"/>
              </w:rPr>
              <w:t>gélifiée de potasse).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1443C7D7" w14:textId="77777777" w:rsidR="00CA7E84" w:rsidRPr="00CA7E84" w:rsidRDefault="00CA7E84" w:rsidP="00CA7E84">
            <w:pPr>
              <w:spacing w:after="120"/>
              <w:rPr>
                <w:rFonts w:ascii="Century" w:hAnsi="Century"/>
                <w:i/>
              </w:rPr>
            </w:pPr>
            <w:r w:rsidRPr="00CA7E84">
              <w:rPr>
                <w:rFonts w:ascii="Century" w:hAnsi="Century"/>
                <w:i/>
              </w:rPr>
              <w:t>Caractéristiques :</w:t>
            </w:r>
          </w:p>
          <w:p w14:paraId="07562C65" w14:textId="77777777" w:rsidR="00CA7E84" w:rsidRPr="00CA7E84" w:rsidRDefault="00CA7E84" w:rsidP="00CA7E84">
            <w:pPr>
              <w:spacing w:after="120"/>
              <w:rPr>
                <w:rFonts w:ascii="Century" w:hAnsi="Century"/>
              </w:rPr>
            </w:pPr>
            <w:r w:rsidRPr="00CA7E84">
              <w:rPr>
                <w:rFonts w:ascii="Century" w:hAnsi="Century"/>
              </w:rPr>
              <w:t>Force électromotrice : e ≈ 1,6 V.</w:t>
            </w:r>
          </w:p>
          <w:p w14:paraId="0FF1D564" w14:textId="77777777" w:rsidR="00CA7E84" w:rsidRDefault="00CA7E84" w:rsidP="00CA7E84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Réaction de fonctionnement :</w:t>
            </w:r>
          </w:p>
          <w:p w14:paraId="4B9427BB" w14:textId="77777777" w:rsidR="00CA7E84" w:rsidRPr="00CA7E84" w:rsidRDefault="00CA7E84" w:rsidP="00CA7E84">
            <w:pPr>
              <w:spacing w:after="120"/>
              <w:rPr>
                <w:rFonts w:ascii="Century" w:hAnsi="Century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2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(s)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2(g)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→2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ZnO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(s)</m:t>
                    </m:r>
                  </m:sub>
                </m:sSub>
              </m:oMath>
            </m:oMathPara>
          </w:p>
          <w:p w14:paraId="0DC518F0" w14:textId="77777777" w:rsidR="00CA7E84" w:rsidRPr="00CA7E84" w:rsidRDefault="00CA7E84" w:rsidP="00CA7E84">
            <w:pPr>
              <w:spacing w:after="120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Masse de zinc dans la pile </w:t>
            </w:r>
            <w:r w:rsidRPr="00CA7E84">
              <w:rPr>
                <w:rFonts w:ascii="Century" w:hAnsi="Century"/>
              </w:rPr>
              <w:t>: 0,65 g.</w:t>
            </w:r>
          </w:p>
          <w:p w14:paraId="5D5A6728" w14:textId="77777777" w:rsidR="00CA7E84" w:rsidRPr="00CA7E84" w:rsidRDefault="00CA7E84" w:rsidP="00CA7E84">
            <w:pPr>
              <w:spacing w:after="120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Masse de la pile </w:t>
            </w:r>
            <w:r w:rsidRPr="00CA7E84">
              <w:rPr>
                <w:rFonts w:ascii="Century" w:hAnsi="Century"/>
              </w:rPr>
              <w:t>: 1,0 g.</w:t>
            </w:r>
          </w:p>
          <w:p w14:paraId="70345DAB" w14:textId="77777777" w:rsidR="00CA7E84" w:rsidRPr="00CA7E84" w:rsidRDefault="00CA7E84" w:rsidP="00CA7E84">
            <w:pPr>
              <w:spacing w:after="120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Intensité de fonctionnement </w:t>
            </w:r>
            <w:r w:rsidRPr="00CA7E84">
              <w:rPr>
                <w:rFonts w:ascii="Century" w:hAnsi="Century"/>
              </w:rPr>
              <w:t>: 0,80 mA.</w:t>
            </w:r>
          </w:p>
          <w:p w14:paraId="23FA57CB" w14:textId="77777777" w:rsidR="00CA7E84" w:rsidRDefault="00CA7E84" w:rsidP="00CA7E84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Tension de fonctionnement </w:t>
            </w:r>
            <w:r w:rsidRPr="00CA7E84">
              <w:rPr>
                <w:rFonts w:ascii="Century" w:hAnsi="Century"/>
              </w:rPr>
              <w:t>: 1,5 V.</w:t>
            </w:r>
          </w:p>
        </w:tc>
      </w:tr>
    </w:tbl>
    <w:p w14:paraId="5CC69B7F" w14:textId="77777777" w:rsidR="00CA7E84" w:rsidRPr="00CA7E84" w:rsidRDefault="00CA7E84" w:rsidP="00CA7E84">
      <w:pPr>
        <w:spacing w:before="120" w:after="120"/>
        <w:jc w:val="center"/>
        <w:rPr>
          <w:rFonts w:ascii="Century" w:hAnsi="Century"/>
          <w:i/>
        </w:rPr>
      </w:pPr>
      <w:r w:rsidRPr="00CA7E84">
        <w:rPr>
          <w:rFonts w:ascii="Century" w:hAnsi="Century"/>
          <w:b/>
          <w:i/>
        </w:rPr>
        <w:t>Figure 1.</w:t>
      </w:r>
      <w:r w:rsidRPr="00CA7E84">
        <w:rPr>
          <w:rFonts w:ascii="Century" w:hAnsi="Century"/>
          <w:i/>
        </w:rPr>
        <w:t xml:space="preserve"> Schéma et caractéristiques d’une pile bouton zinc-air.</w:t>
      </w:r>
    </w:p>
    <w:p w14:paraId="4A483CAA" w14:textId="77777777" w:rsidR="00CA7E84" w:rsidRPr="00CA7E84" w:rsidRDefault="00CA7E84" w:rsidP="00CA7E84">
      <w:pPr>
        <w:spacing w:after="0"/>
        <w:rPr>
          <w:rFonts w:ascii="Century" w:hAnsi="Century"/>
        </w:rPr>
      </w:pPr>
      <w:r w:rsidRPr="00CA7E84">
        <w:rPr>
          <w:rFonts w:ascii="Century" w:hAnsi="Century"/>
          <w:b/>
        </w:rPr>
        <w:t>Q10-</w:t>
      </w:r>
      <w:r w:rsidRPr="00CA7E84">
        <w:rPr>
          <w:rFonts w:ascii="Century" w:hAnsi="Century"/>
        </w:rPr>
        <w:t xml:space="preserve"> Identifier l’anode et la cathode de cette pile et déterminer la polarité de la pile. Justifier.</w:t>
      </w:r>
    </w:p>
    <w:p w14:paraId="504C2451" w14:textId="77777777" w:rsidR="00CA7E84" w:rsidRPr="00CA7E84" w:rsidRDefault="00CA7E84" w:rsidP="00CA7E84">
      <w:pPr>
        <w:spacing w:after="0"/>
        <w:rPr>
          <w:rFonts w:ascii="Century" w:hAnsi="Century"/>
        </w:rPr>
      </w:pPr>
      <w:r w:rsidRPr="00CA7E84">
        <w:rPr>
          <w:rFonts w:ascii="Century" w:hAnsi="Century"/>
          <w:b/>
        </w:rPr>
        <w:t>Q11-</w:t>
      </w:r>
      <w:r w:rsidRPr="00CA7E84">
        <w:rPr>
          <w:rFonts w:ascii="Century" w:hAnsi="Century"/>
        </w:rPr>
        <w:t xml:space="preserve"> Calculer la force électromotrice standard e° de cette pile à partir des valeurs des potentiels</w:t>
      </w:r>
      <w:r>
        <w:rPr>
          <w:rFonts w:ascii="Century" w:hAnsi="Century"/>
        </w:rPr>
        <w:t xml:space="preserve"> </w:t>
      </w:r>
      <w:r w:rsidRPr="00CA7E84">
        <w:rPr>
          <w:rFonts w:ascii="Century" w:hAnsi="Century"/>
        </w:rPr>
        <w:t xml:space="preserve">standards </w:t>
      </w:r>
      <w:r w:rsidRPr="00CA7E84">
        <w:rPr>
          <w:rFonts w:ascii="Century" w:hAnsi="Century"/>
          <w:i/>
        </w:rPr>
        <w:t>E°</w:t>
      </w:r>
      <w:r w:rsidRPr="00CA7E84">
        <w:rPr>
          <w:rFonts w:ascii="Century" w:hAnsi="Century"/>
        </w:rPr>
        <w:t xml:space="preserve"> des couples redox.</w:t>
      </w:r>
    </w:p>
    <w:p w14:paraId="141A1A1C" w14:textId="77777777" w:rsidR="00CA7E84" w:rsidRPr="00CA7E84" w:rsidRDefault="00CA7E84" w:rsidP="00CA7E84">
      <w:pPr>
        <w:spacing w:after="0"/>
        <w:rPr>
          <w:rFonts w:ascii="Century" w:hAnsi="Century"/>
        </w:rPr>
      </w:pPr>
      <w:r w:rsidRPr="00CA7E84">
        <w:rPr>
          <w:rFonts w:ascii="Century" w:hAnsi="Century"/>
          <w:b/>
        </w:rPr>
        <w:t>Q12-</w:t>
      </w:r>
      <w:r w:rsidRPr="00CA7E84">
        <w:rPr>
          <w:rFonts w:ascii="Century" w:hAnsi="Century"/>
        </w:rPr>
        <w:t xml:space="preserve"> Calculer l’enthalpie libre standard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G°</m:t>
        </m:r>
      </m:oMath>
      <w:r>
        <w:rPr>
          <w:rFonts w:ascii="Century" w:eastAsiaTheme="minorEastAsia" w:hAnsi="Century"/>
        </w:rPr>
        <w:t xml:space="preserve"> </w:t>
      </w:r>
      <w:r w:rsidRPr="00CA7E84">
        <w:rPr>
          <w:rFonts w:ascii="Century" w:hAnsi="Century"/>
        </w:rPr>
        <w:t xml:space="preserve">de la réaction de </w:t>
      </w:r>
      <w:r>
        <w:rPr>
          <w:rFonts w:ascii="Century" w:hAnsi="Century"/>
        </w:rPr>
        <w:t>fonctionnement de la pile à 298 </w:t>
      </w:r>
      <w:r w:rsidRPr="00CA7E84">
        <w:rPr>
          <w:rFonts w:ascii="Century" w:hAnsi="Century"/>
        </w:rPr>
        <w:t>K</w:t>
      </w:r>
      <w:r>
        <w:rPr>
          <w:rFonts w:ascii="Century" w:hAnsi="Century"/>
        </w:rPr>
        <w:t xml:space="preserve"> </w:t>
      </w:r>
      <w:r w:rsidRPr="00CA7E84">
        <w:rPr>
          <w:rFonts w:ascii="Century" w:hAnsi="Century"/>
        </w:rPr>
        <w:t>en utilisant les grandeurs thermodynamiques fournies (Annexe 3, page 5). En déduire la valeur de</w:t>
      </w:r>
      <w:r>
        <w:rPr>
          <w:rFonts w:ascii="Century" w:hAnsi="Century"/>
        </w:rPr>
        <w:t xml:space="preserve"> </w:t>
      </w:r>
      <w:r w:rsidRPr="00CA7E84">
        <w:rPr>
          <w:rFonts w:ascii="Century" w:hAnsi="Century"/>
        </w:rPr>
        <w:t>la constante K° de cette même réaction. Conclure.</w:t>
      </w:r>
    </w:p>
    <w:p w14:paraId="4868601D" w14:textId="77777777" w:rsidR="00CA7E84" w:rsidRPr="00CA7E84" w:rsidRDefault="00CA7E84" w:rsidP="00CA7E84">
      <w:pPr>
        <w:spacing w:after="0"/>
        <w:rPr>
          <w:rFonts w:ascii="Century" w:hAnsi="Century"/>
        </w:rPr>
      </w:pPr>
      <w:r w:rsidRPr="00CA7E84">
        <w:rPr>
          <w:rFonts w:ascii="Century" w:hAnsi="Century"/>
          <w:b/>
        </w:rPr>
        <w:t>Q13-</w:t>
      </w:r>
      <w:r w:rsidRPr="00CA7E84">
        <w:rPr>
          <w:rFonts w:ascii="Century" w:hAnsi="Century"/>
        </w:rPr>
        <w:t xml:space="preserve"> Calculer la valeur de la force électromotrice standard à l’aide de la valeur de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G°</m:t>
        </m:r>
      </m:oMath>
      <w:r w:rsidRPr="00CA7E84">
        <w:rPr>
          <w:rFonts w:ascii="Century" w:hAnsi="Century"/>
        </w:rPr>
        <w:t>.</w:t>
      </w:r>
    </w:p>
    <w:p w14:paraId="673C1E5C" w14:textId="77777777" w:rsidR="00CA7E84" w:rsidRPr="00CA7E84" w:rsidRDefault="00CA7E84" w:rsidP="00CA7E84">
      <w:pPr>
        <w:spacing w:after="0"/>
        <w:rPr>
          <w:rFonts w:ascii="Century" w:hAnsi="Century"/>
        </w:rPr>
      </w:pPr>
      <w:r w:rsidRPr="00CA7E84">
        <w:rPr>
          <w:rFonts w:ascii="Century" w:hAnsi="Century"/>
          <w:b/>
        </w:rPr>
        <w:t>Q14-</w:t>
      </w:r>
      <w:r w:rsidRPr="00CA7E84">
        <w:rPr>
          <w:rFonts w:ascii="Century" w:hAnsi="Century"/>
        </w:rPr>
        <w:t xml:space="preserve"> Calculer la durée théorique pendant laquelle cette pile peut fonctionner sans être déchargée.</w:t>
      </w:r>
    </w:p>
    <w:p w14:paraId="0865A9DC" w14:textId="77777777" w:rsidR="00725D0A" w:rsidRDefault="00CA7E84" w:rsidP="00CA7E84">
      <w:pPr>
        <w:spacing w:after="120"/>
        <w:rPr>
          <w:rFonts w:ascii="Century" w:hAnsi="Century"/>
        </w:rPr>
      </w:pPr>
      <w:r w:rsidRPr="00CA7E84">
        <w:rPr>
          <w:rFonts w:ascii="Century" w:hAnsi="Century"/>
          <w:b/>
        </w:rPr>
        <w:t>Q15-</w:t>
      </w:r>
      <w:r w:rsidRPr="00CA7E84">
        <w:rPr>
          <w:rFonts w:ascii="Century" w:hAnsi="Century"/>
        </w:rPr>
        <w:t xml:space="preserve"> Calculer l’énergie que peut fournir cette pile.</w:t>
      </w:r>
    </w:p>
    <w:p w14:paraId="3F3208C1" w14:textId="77777777" w:rsidR="00725D0A" w:rsidRDefault="00CA7E84" w:rsidP="00CA7E84">
      <w:pPr>
        <w:spacing w:after="120"/>
        <w:rPr>
          <w:rFonts w:ascii="Century" w:hAnsi="Century"/>
        </w:rPr>
      </w:pPr>
      <w:r>
        <w:rPr>
          <w:rFonts w:ascii="Century" w:hAnsi="Century"/>
          <w:b/>
          <w:sz w:val="28"/>
          <w:szCs w:val="28"/>
        </w:rPr>
        <w:t>Partie 3. Energie du sportif</w:t>
      </w:r>
    </w:p>
    <w:p w14:paraId="7D86B7EA" w14:textId="77777777" w:rsidR="00725D0A" w:rsidRDefault="00CA7E84" w:rsidP="00CA7E84">
      <w:pPr>
        <w:spacing w:after="120"/>
        <w:rPr>
          <w:rFonts w:ascii="Century" w:hAnsi="Century"/>
        </w:rPr>
      </w:pPr>
      <w:r w:rsidRPr="00CA7E84">
        <w:rPr>
          <w:rFonts w:ascii="Century" w:hAnsi="Century"/>
        </w:rPr>
        <w:t>Le glucose, un sucre de formule brute C</w:t>
      </w:r>
      <w:r w:rsidRPr="00CA7E84">
        <w:rPr>
          <w:rFonts w:ascii="Century" w:hAnsi="Century"/>
          <w:vertAlign w:val="subscript"/>
        </w:rPr>
        <w:t>6</w:t>
      </w:r>
      <w:r w:rsidRPr="00CA7E84">
        <w:rPr>
          <w:rFonts w:ascii="Century" w:hAnsi="Century"/>
        </w:rPr>
        <w:t>H</w:t>
      </w:r>
      <w:r w:rsidRPr="00CA7E84">
        <w:rPr>
          <w:rFonts w:ascii="Century" w:hAnsi="Century"/>
          <w:vertAlign w:val="subscript"/>
        </w:rPr>
        <w:t>12</w:t>
      </w:r>
      <w:r w:rsidRPr="00CA7E84">
        <w:rPr>
          <w:rFonts w:ascii="Century" w:hAnsi="Century"/>
        </w:rPr>
        <w:t>O</w:t>
      </w:r>
      <w:r w:rsidRPr="00CA7E84">
        <w:rPr>
          <w:rFonts w:ascii="Century" w:hAnsi="Century"/>
          <w:vertAlign w:val="subscript"/>
        </w:rPr>
        <w:t>6</w:t>
      </w:r>
      <w:r w:rsidRPr="00CA7E84">
        <w:rPr>
          <w:rFonts w:ascii="Century" w:hAnsi="Century"/>
        </w:rPr>
        <w:t>, est stocké chez les plantes sous forme d'amidon et</w:t>
      </w:r>
      <w:r>
        <w:rPr>
          <w:rFonts w:ascii="Century" w:hAnsi="Century"/>
        </w:rPr>
        <w:t xml:space="preserve"> </w:t>
      </w:r>
      <w:r w:rsidRPr="00CA7E84">
        <w:rPr>
          <w:rFonts w:ascii="Century" w:hAnsi="Century"/>
        </w:rPr>
        <w:t>chez les animaux sous forme de glycogène, qui peuvent être hydrolysés à tout moment pour redonner</w:t>
      </w:r>
      <w:r>
        <w:rPr>
          <w:rFonts w:ascii="Century" w:hAnsi="Century"/>
        </w:rPr>
        <w:t xml:space="preserve"> </w:t>
      </w:r>
      <w:r w:rsidRPr="00CA7E84">
        <w:rPr>
          <w:rFonts w:ascii="Century" w:hAnsi="Century"/>
        </w:rPr>
        <w:t xml:space="preserve">des molécules de glucose prêtes à être dégradées en </w:t>
      </w:r>
      <w:r w:rsidRPr="00CA7E84">
        <w:rPr>
          <w:rFonts w:ascii="Century" w:hAnsi="Century"/>
        </w:rPr>
        <w:lastRenderedPageBreak/>
        <w:t>fournissant de l'énergie dès que la cellule en a</w:t>
      </w:r>
      <w:r>
        <w:rPr>
          <w:rFonts w:ascii="Century" w:hAnsi="Century"/>
        </w:rPr>
        <w:t xml:space="preserve"> </w:t>
      </w:r>
      <w:r w:rsidRPr="00CA7E84">
        <w:rPr>
          <w:rFonts w:ascii="Century" w:hAnsi="Century"/>
        </w:rPr>
        <w:t>besoin. Nous allons nous intéresser au titrage du glucose dans un jus d’orange selon le protocole</w:t>
      </w:r>
      <w:r>
        <w:rPr>
          <w:rFonts w:ascii="Century" w:hAnsi="Century"/>
        </w:rPr>
        <w:t xml:space="preserve"> </w:t>
      </w:r>
      <w:r w:rsidRPr="00CA7E84">
        <w:rPr>
          <w:rFonts w:ascii="Century" w:hAnsi="Century"/>
        </w:rPr>
        <w:t>proposé dans le Document 1.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A7E84" w14:paraId="2AA148FD" w14:textId="77777777" w:rsidTr="00CA7E84">
        <w:tc>
          <w:tcPr>
            <w:tcW w:w="9212" w:type="dxa"/>
            <w:shd w:val="clear" w:color="auto" w:fill="BFBFBF" w:themeFill="background1" w:themeFillShade="BF"/>
          </w:tcPr>
          <w:p w14:paraId="344A8A1D" w14:textId="77777777" w:rsidR="00CA7E84" w:rsidRPr="00CA7E84" w:rsidRDefault="00CA7E84" w:rsidP="00CA7E84">
            <w:pPr>
              <w:spacing w:before="120" w:after="120"/>
              <w:jc w:val="center"/>
              <w:rPr>
                <w:rFonts w:ascii="Century" w:hAnsi="Century"/>
                <w:i/>
              </w:rPr>
            </w:pPr>
            <w:r w:rsidRPr="00CA7E84">
              <w:rPr>
                <w:rFonts w:ascii="Century" w:hAnsi="Century"/>
                <w:b/>
                <w:i/>
              </w:rPr>
              <w:t>Document 1.</w:t>
            </w:r>
            <w:r w:rsidRPr="00CA7E84">
              <w:rPr>
                <w:rFonts w:ascii="Century" w:hAnsi="Century"/>
                <w:i/>
              </w:rPr>
              <w:t xml:space="preserve"> Dosage du glucose présent dans du jus d’orange.</w:t>
            </w:r>
          </w:p>
        </w:tc>
      </w:tr>
      <w:tr w:rsidR="00CA7E84" w14:paraId="469C1F4A" w14:textId="77777777" w:rsidTr="00CA7E84">
        <w:tc>
          <w:tcPr>
            <w:tcW w:w="9212" w:type="dxa"/>
          </w:tcPr>
          <w:p w14:paraId="0879CC35" w14:textId="77777777" w:rsidR="00CA7E84" w:rsidRPr="00CA7E84" w:rsidRDefault="00CA7E84" w:rsidP="00CA7E84">
            <w:pPr>
              <w:spacing w:after="120"/>
              <w:rPr>
                <w:rFonts w:ascii="Century" w:hAnsi="Century"/>
                <w:sz w:val="20"/>
                <w:szCs w:val="20"/>
              </w:rPr>
            </w:pPr>
            <w:r w:rsidRPr="00CA7E84">
              <w:rPr>
                <w:rFonts w:ascii="Century" w:hAnsi="Century"/>
                <w:sz w:val="20"/>
                <w:szCs w:val="20"/>
              </w:rPr>
              <w:t>• Presser une demi-orange et filtrer sur Büchner sous pression réduite pour récupérer le jus.</w:t>
            </w:r>
          </w:p>
          <w:p w14:paraId="439BCCDE" w14:textId="77777777" w:rsidR="00CA7E84" w:rsidRPr="00CA7E84" w:rsidRDefault="00CA7E84" w:rsidP="00CA7E84">
            <w:pPr>
              <w:spacing w:after="120"/>
              <w:rPr>
                <w:rFonts w:ascii="Century" w:hAnsi="Century"/>
                <w:sz w:val="20"/>
                <w:szCs w:val="20"/>
              </w:rPr>
            </w:pPr>
            <w:r w:rsidRPr="00CA7E84">
              <w:rPr>
                <w:rFonts w:ascii="Century" w:hAnsi="Century"/>
                <w:sz w:val="20"/>
                <w:szCs w:val="20"/>
              </w:rPr>
              <w:t>• Diluer 5 fois le jus d’orange. Cette solution est nommée (S1).</w:t>
            </w:r>
          </w:p>
          <w:p w14:paraId="4B0F42A7" w14:textId="77777777" w:rsidR="00CA7E84" w:rsidRPr="00CA7E84" w:rsidRDefault="00CA7E84" w:rsidP="00CA7E84">
            <w:pPr>
              <w:spacing w:after="120"/>
              <w:rPr>
                <w:rFonts w:ascii="Century" w:hAnsi="Century"/>
                <w:sz w:val="20"/>
                <w:szCs w:val="20"/>
              </w:rPr>
            </w:pPr>
            <w:r w:rsidRPr="00CA7E84">
              <w:rPr>
                <w:rFonts w:ascii="Century" w:hAnsi="Century"/>
                <w:sz w:val="20"/>
                <w:szCs w:val="20"/>
              </w:rPr>
              <w:t>• En se plaçant en milieu basique, oxyder le glucose présent dans V</w:t>
            </w:r>
            <w:r w:rsidRPr="00CA7E84">
              <w:rPr>
                <w:rFonts w:ascii="Century" w:hAnsi="Century"/>
                <w:sz w:val="20"/>
                <w:szCs w:val="20"/>
                <w:vertAlign w:val="subscript"/>
              </w:rPr>
              <w:t>G</w:t>
            </w:r>
            <w:r w:rsidRPr="00CA7E84">
              <w:rPr>
                <w:rFonts w:ascii="Century" w:hAnsi="Century"/>
                <w:sz w:val="20"/>
                <w:szCs w:val="20"/>
              </w:rPr>
              <w:t> = 20,0 </w:t>
            </w:r>
            <w:proofErr w:type="spellStart"/>
            <w:r w:rsidRPr="00CA7E84">
              <w:rPr>
                <w:rFonts w:ascii="Century" w:hAnsi="Century"/>
                <w:sz w:val="20"/>
                <w:szCs w:val="20"/>
              </w:rPr>
              <w:t>mL</w:t>
            </w:r>
            <w:proofErr w:type="spellEnd"/>
            <w:r w:rsidRPr="00CA7E84">
              <w:rPr>
                <w:rFonts w:ascii="Century" w:hAnsi="Century"/>
                <w:sz w:val="20"/>
                <w:szCs w:val="20"/>
              </w:rPr>
              <w:t xml:space="preserve"> de la solution (S1) à l’aide de 20,0 </w:t>
            </w:r>
            <w:proofErr w:type="spellStart"/>
            <w:r w:rsidRPr="00CA7E84">
              <w:rPr>
                <w:rFonts w:ascii="Century" w:hAnsi="Century"/>
                <w:sz w:val="20"/>
                <w:szCs w:val="20"/>
              </w:rPr>
              <w:t>mL</w:t>
            </w:r>
            <w:proofErr w:type="spellEnd"/>
            <w:r w:rsidRPr="00CA7E84">
              <w:rPr>
                <w:rFonts w:ascii="Century" w:hAnsi="Century"/>
                <w:sz w:val="20"/>
                <w:szCs w:val="20"/>
              </w:rPr>
              <w:t xml:space="preserve"> de solution aqueuse de diiode de concentration C = 5,00×10</w:t>
            </w:r>
            <w:r w:rsidRPr="00CA7E84">
              <w:rPr>
                <w:rFonts w:ascii="Century" w:hAnsi="Century"/>
                <w:sz w:val="20"/>
                <w:szCs w:val="20"/>
                <w:vertAlign w:val="superscript"/>
              </w:rPr>
              <w:t>–2</w:t>
            </w:r>
            <w:r w:rsidRPr="00CA7E84">
              <w:rPr>
                <w:rFonts w:ascii="Century" w:hAnsi="Century"/>
                <w:sz w:val="20"/>
                <w:szCs w:val="20"/>
              </w:rPr>
              <w:t xml:space="preserve"> mol·L</w:t>
            </w:r>
            <w:r w:rsidRPr="00CA7E84">
              <w:rPr>
                <w:rFonts w:ascii="Century" w:hAnsi="Century"/>
                <w:sz w:val="20"/>
                <w:szCs w:val="20"/>
                <w:vertAlign w:val="superscript"/>
              </w:rPr>
              <w:t>–1</w:t>
            </w:r>
            <w:r w:rsidRPr="00CA7E84">
              <w:rPr>
                <w:rFonts w:ascii="Century" w:hAnsi="Century"/>
                <w:sz w:val="20"/>
                <w:szCs w:val="20"/>
              </w:rPr>
              <w:t>. Dans cette étape il se produit deux réactions :</w:t>
            </w:r>
          </w:p>
          <w:p w14:paraId="237CF0FD" w14:textId="77777777" w:rsidR="00CA7E84" w:rsidRPr="00CA7E84" w:rsidRDefault="00CA7E84" w:rsidP="00CA7E84">
            <w:pPr>
              <w:spacing w:after="120"/>
              <w:rPr>
                <w:rFonts w:ascii="Century" w:hAnsi="Century"/>
                <w:sz w:val="20"/>
                <w:szCs w:val="20"/>
              </w:rPr>
            </w:pPr>
            <w:proofErr w:type="spellStart"/>
            <w:r w:rsidRPr="00CA7E84">
              <w:rPr>
                <w:rFonts w:ascii="Century" w:hAnsi="Century"/>
                <w:sz w:val="20"/>
                <w:szCs w:val="20"/>
              </w:rPr>
              <w:t>Dismutation</w:t>
            </w:r>
            <w:proofErr w:type="spellEnd"/>
            <w:r w:rsidRPr="00CA7E84">
              <w:rPr>
                <w:rFonts w:ascii="Century" w:hAnsi="Century"/>
                <w:sz w:val="20"/>
                <w:szCs w:val="20"/>
              </w:rPr>
              <w:t xml:space="preserve"> du diiode 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3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2(aq)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 xml:space="preserve">+ 6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HO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(aq)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-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 xml:space="preserve">→5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(aq)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-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 xml:space="preserve">+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IO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3(aq)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-</m:t>
                  </m:r>
                </m:sup>
              </m:sSubSup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+ 3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(l)</m:t>
                  </m:r>
                </m:sub>
              </m:sSub>
            </m:oMath>
          </w:p>
          <w:p w14:paraId="0B35D81B" w14:textId="77777777" w:rsidR="00CA7E84" w:rsidRPr="00CA7E84" w:rsidRDefault="00CA7E84" w:rsidP="00CA7E84">
            <w:pPr>
              <w:spacing w:after="120"/>
              <w:rPr>
                <w:rFonts w:ascii="Century" w:hAnsi="Century"/>
                <w:sz w:val="20"/>
                <w:szCs w:val="20"/>
              </w:rPr>
            </w:pPr>
            <w:r w:rsidRPr="00CA7E84">
              <w:rPr>
                <w:rFonts w:ascii="Century" w:hAnsi="Century"/>
                <w:sz w:val="20"/>
                <w:szCs w:val="20"/>
              </w:rPr>
              <w:t xml:space="preserve">Réaction du glucose sur les ions iodates 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3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6(aq)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IO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3(aq)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-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 xml:space="preserve">→3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7(aq)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(aq)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-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3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(l)</m:t>
                  </m:r>
                </m:sub>
              </m:sSub>
            </m:oMath>
          </w:p>
          <w:p w14:paraId="2BB02E25" w14:textId="77777777" w:rsidR="00CA7E84" w:rsidRDefault="00CA7E84" w:rsidP="00CA7E84">
            <w:pPr>
              <w:spacing w:after="120"/>
              <w:rPr>
                <w:rFonts w:ascii="Century" w:hAnsi="Century"/>
                <w:sz w:val="20"/>
                <w:szCs w:val="20"/>
              </w:rPr>
            </w:pPr>
            <w:r w:rsidRPr="00CA7E84">
              <w:rPr>
                <w:rFonts w:ascii="Century" w:hAnsi="Century"/>
                <w:sz w:val="20"/>
                <w:szCs w:val="20"/>
              </w:rPr>
              <w:t>• Revenir en milieu acide pour reformer du diiode par</w:t>
            </w:r>
            <w:r>
              <w:rPr>
                <w:rFonts w:ascii="Century" w:hAnsi="Century"/>
                <w:sz w:val="20"/>
                <w:szCs w:val="20"/>
              </w:rPr>
              <w:t xml:space="preserve"> une réaction de </w:t>
            </w:r>
            <w:proofErr w:type="spellStart"/>
            <w:r>
              <w:rPr>
                <w:rFonts w:ascii="Century" w:hAnsi="Century"/>
                <w:sz w:val="20"/>
                <w:szCs w:val="20"/>
              </w:rPr>
              <w:t>médiamutation</w:t>
            </w:r>
            <w:proofErr w:type="spellEnd"/>
            <w:r>
              <w:rPr>
                <w:rFonts w:ascii="Century" w:hAnsi="Century"/>
                <w:sz w:val="20"/>
                <w:szCs w:val="20"/>
              </w:rPr>
              <w:t> :</w:t>
            </w:r>
          </w:p>
          <w:p w14:paraId="20E70CF9" w14:textId="77777777" w:rsidR="00CA7E84" w:rsidRPr="00CA7E84" w:rsidRDefault="00CA7E84" w:rsidP="00CA7E84">
            <w:pPr>
              <w:spacing w:after="120"/>
              <w:rPr>
                <w:rFonts w:ascii="Century" w:hAnsi="Century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6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(aq)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 xml:space="preserve">+5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(aq)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 xml:space="preserve">+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IO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3(aq)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 xml:space="preserve">→3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2(aq)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3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O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(l)</m:t>
                    </m:r>
                  </m:sub>
                </m:sSub>
              </m:oMath>
            </m:oMathPara>
          </w:p>
          <w:p w14:paraId="5AE96387" w14:textId="77777777" w:rsidR="00CA7E84" w:rsidRPr="00CA7E84" w:rsidRDefault="00CA7E84" w:rsidP="00CA7E84">
            <w:pPr>
              <w:rPr>
                <w:rFonts w:ascii="Century" w:hAnsi="Century"/>
                <w:sz w:val="20"/>
                <w:szCs w:val="20"/>
              </w:rPr>
            </w:pPr>
            <w:r w:rsidRPr="00CA7E84">
              <w:rPr>
                <w:rFonts w:ascii="Century" w:hAnsi="Century"/>
                <w:sz w:val="20"/>
                <w:szCs w:val="20"/>
              </w:rPr>
              <w:t>• Titrer le diiode présent par une solution de thiosulfate de sodium</w:t>
            </w:r>
            <w:r>
              <w:rPr>
                <w:rFonts w:ascii="Century" w:hAnsi="Century"/>
                <w:sz w:val="20"/>
                <w:szCs w:val="20"/>
              </w:rPr>
              <w:t xml:space="preserve"> à 0,100 mol·L</w:t>
            </w:r>
            <w:r w:rsidRPr="00CA7E84">
              <w:rPr>
                <w:rFonts w:ascii="Century" w:hAnsi="Century"/>
                <w:sz w:val="20"/>
                <w:szCs w:val="20"/>
                <w:vertAlign w:val="superscript"/>
              </w:rPr>
              <w:t>–1</w:t>
            </w:r>
            <w:r>
              <w:rPr>
                <w:rFonts w:ascii="Century" w:hAnsi="Century"/>
                <w:sz w:val="20"/>
                <w:szCs w:val="20"/>
              </w:rPr>
              <w:t xml:space="preserve">. On obtient un </w:t>
            </w:r>
            <w:r w:rsidRPr="00CA7E84">
              <w:rPr>
                <w:rFonts w:ascii="Century" w:hAnsi="Century"/>
                <w:sz w:val="20"/>
                <w:szCs w:val="20"/>
              </w:rPr>
              <w:t xml:space="preserve">volume équivalent </w:t>
            </w:r>
            <w:proofErr w:type="spellStart"/>
            <w:r w:rsidRPr="00CA7E84">
              <w:rPr>
                <w:rFonts w:ascii="Century" w:hAnsi="Century"/>
                <w:sz w:val="20"/>
                <w:szCs w:val="20"/>
              </w:rPr>
              <w:t>V</w:t>
            </w:r>
            <w:r w:rsidRPr="00CA7E84">
              <w:rPr>
                <w:rFonts w:ascii="Century" w:hAnsi="Century"/>
                <w:sz w:val="20"/>
                <w:szCs w:val="20"/>
                <w:vertAlign w:val="subscript"/>
              </w:rPr>
              <w:t>éq</w:t>
            </w:r>
            <w:proofErr w:type="spellEnd"/>
            <w:r w:rsidRPr="00CA7E84">
              <w:rPr>
                <w:rFonts w:ascii="Century" w:hAnsi="Century"/>
                <w:sz w:val="20"/>
                <w:szCs w:val="20"/>
              </w:rPr>
              <w:t xml:space="preserve"> = 8,8 </w:t>
            </w:r>
            <w:proofErr w:type="spellStart"/>
            <w:r w:rsidRPr="00CA7E84">
              <w:rPr>
                <w:rFonts w:ascii="Century" w:hAnsi="Century"/>
                <w:sz w:val="20"/>
                <w:szCs w:val="20"/>
              </w:rPr>
              <w:t>mL</w:t>
            </w:r>
            <w:proofErr w:type="spellEnd"/>
            <w:r w:rsidRPr="00CA7E84">
              <w:rPr>
                <w:rFonts w:ascii="Century" w:hAnsi="Century"/>
                <w:sz w:val="20"/>
                <w:szCs w:val="20"/>
              </w:rPr>
              <w:t>.</w:t>
            </w:r>
          </w:p>
        </w:tc>
      </w:tr>
    </w:tbl>
    <w:p w14:paraId="6E692D47" w14:textId="77777777" w:rsidR="00CA7E84" w:rsidRPr="00CA7E84" w:rsidRDefault="00CA7E84" w:rsidP="001A6D0C">
      <w:pPr>
        <w:spacing w:before="120" w:after="0"/>
        <w:rPr>
          <w:rFonts w:ascii="Century" w:hAnsi="Century"/>
        </w:rPr>
      </w:pPr>
      <w:r w:rsidRPr="001A6D0C">
        <w:rPr>
          <w:rFonts w:ascii="Century" w:hAnsi="Century"/>
          <w:b/>
        </w:rPr>
        <w:t>Q16-</w:t>
      </w:r>
      <w:r w:rsidRPr="00CA7E84">
        <w:rPr>
          <w:rFonts w:ascii="Century" w:hAnsi="Century"/>
        </w:rPr>
        <w:t xml:space="preserve"> Déterminer le nombre d’oxydation de l’iode dans les trois espèces qui ont pour formules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1A6D0C">
        <w:rPr>
          <w:rFonts w:ascii="Century" w:hAnsi="Century"/>
        </w:rPr>
        <w:t>,</w:t>
      </w:r>
      <w:r w:rsidR="001A6D0C" w:rsidRPr="001A6D0C">
        <w:rPr>
          <w:rFonts w:ascii="Century" w:hAnsi="Century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 w:rsidR="001A6D0C" w:rsidRPr="001A6D0C">
        <w:rPr>
          <w:rFonts w:ascii="Century" w:eastAsiaTheme="minorEastAsia" w:hAnsi="Century"/>
        </w:rPr>
        <w:t xml:space="preserve"> </w:t>
      </w:r>
      <w:r w:rsidRPr="001A6D0C">
        <w:rPr>
          <w:rFonts w:ascii="Century" w:hAnsi="Century"/>
        </w:rPr>
        <w:t xml:space="preserve">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IO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</m:oMath>
      <w:r w:rsidRPr="00CA7E84">
        <w:rPr>
          <w:rFonts w:ascii="Century" w:hAnsi="Century"/>
        </w:rPr>
        <w:t>.</w:t>
      </w:r>
    </w:p>
    <w:p w14:paraId="53FADD00" w14:textId="77777777" w:rsidR="00725D0A" w:rsidRDefault="00CA7E84" w:rsidP="00CA7E84">
      <w:pPr>
        <w:spacing w:after="0"/>
        <w:rPr>
          <w:rFonts w:ascii="Century" w:hAnsi="Century"/>
        </w:rPr>
      </w:pPr>
      <w:r w:rsidRPr="001A6D0C">
        <w:rPr>
          <w:rFonts w:ascii="Century" w:hAnsi="Century"/>
          <w:b/>
        </w:rPr>
        <w:t>Q17-</w:t>
      </w:r>
      <w:r w:rsidRPr="00CA7E84">
        <w:rPr>
          <w:rFonts w:ascii="Century" w:hAnsi="Century"/>
        </w:rPr>
        <w:t xml:space="preserve"> Attribuer à chaque domaine </w:t>
      </w:r>
      <w:r w:rsidRPr="001A6D0C">
        <w:rPr>
          <w:rFonts w:ascii="Century" w:hAnsi="Century"/>
          <w:b/>
        </w:rPr>
        <w:t>A, B, C</w:t>
      </w:r>
      <w:r w:rsidRPr="00CA7E84">
        <w:rPr>
          <w:rFonts w:ascii="Century" w:hAnsi="Century"/>
        </w:rPr>
        <w:t xml:space="preserve"> du diagramme potentiel-pH (E-pH) de l’iode (Figure 2,</w:t>
      </w:r>
      <w:r w:rsidR="001A6D0C">
        <w:rPr>
          <w:rFonts w:ascii="Century" w:hAnsi="Century"/>
        </w:rPr>
        <w:t xml:space="preserve"> </w:t>
      </w:r>
      <w:proofErr w:type="spellStart"/>
      <w:r w:rsidRPr="00CA7E84">
        <w:rPr>
          <w:rFonts w:ascii="Century" w:hAnsi="Century"/>
        </w:rPr>
        <w:t>C</w:t>
      </w:r>
      <w:r w:rsidRPr="001A6D0C">
        <w:rPr>
          <w:rFonts w:ascii="Century" w:hAnsi="Century"/>
          <w:vertAlign w:val="subscript"/>
        </w:rPr>
        <w:t>tracé</w:t>
      </w:r>
      <w:proofErr w:type="spellEnd"/>
      <w:r w:rsidRPr="00CA7E84">
        <w:rPr>
          <w:rFonts w:ascii="Century" w:hAnsi="Century"/>
        </w:rPr>
        <w:t xml:space="preserve"> = 1,0×10</w:t>
      </w:r>
      <w:r w:rsidRPr="001A6D0C">
        <w:rPr>
          <w:rFonts w:ascii="Century" w:hAnsi="Century"/>
          <w:vertAlign w:val="superscript"/>
        </w:rPr>
        <w:t>–2</w:t>
      </w:r>
      <w:r w:rsidRPr="00CA7E84">
        <w:rPr>
          <w:rFonts w:ascii="Century" w:hAnsi="Century"/>
        </w:rPr>
        <w:t xml:space="preserve"> </w:t>
      </w:r>
      <w:proofErr w:type="spellStart"/>
      <w:r w:rsidRPr="00CA7E84">
        <w:rPr>
          <w:rFonts w:ascii="Century" w:hAnsi="Century"/>
        </w:rPr>
        <w:t>mol·L</w:t>
      </w:r>
      <w:proofErr w:type="spellEnd"/>
      <w:r w:rsidRPr="001A6D0C">
        <w:rPr>
          <w:rFonts w:ascii="Century" w:hAnsi="Century"/>
          <w:vertAlign w:val="superscript"/>
        </w:rPr>
        <w:t>–1</w:t>
      </w:r>
      <w:r w:rsidRPr="00CA7E84">
        <w:rPr>
          <w:rFonts w:ascii="Century" w:hAnsi="Century"/>
        </w:rPr>
        <w:t xml:space="preserve"> en élément iode) aux 3 espèces données dans la question précédente.</w:t>
      </w:r>
      <w:r w:rsidR="001A6D0C">
        <w:rPr>
          <w:rFonts w:ascii="Century" w:hAnsi="Century"/>
        </w:rPr>
        <w:t xml:space="preserve"> </w:t>
      </w:r>
      <w:r w:rsidRPr="00CA7E84">
        <w:rPr>
          <w:rFonts w:ascii="Century" w:hAnsi="Century"/>
        </w:rPr>
        <w:t>Justifier.</w:t>
      </w:r>
    </w:p>
    <w:p w14:paraId="59FD2B88" w14:textId="77777777" w:rsidR="001A6D0C" w:rsidRDefault="001A6D0C" w:rsidP="001A6D0C">
      <w:pPr>
        <w:spacing w:after="0"/>
        <w:jc w:val="center"/>
        <w:rPr>
          <w:rFonts w:ascii="Century" w:hAnsi="Century"/>
        </w:rPr>
      </w:pPr>
      <w:r>
        <w:rPr>
          <w:rFonts w:ascii="Century" w:hAnsi="Century"/>
          <w:noProof/>
          <w:lang w:eastAsia="fr-FR"/>
        </w:rPr>
        <w:drawing>
          <wp:inline distT="0" distB="0" distL="0" distR="0" wp14:anchorId="32D199D2" wp14:editId="2E06EEC6">
            <wp:extent cx="3371666" cy="2647950"/>
            <wp:effectExtent l="19050" t="0" r="184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666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7BD4C6" w14:textId="77777777" w:rsidR="001A6D0C" w:rsidRPr="001A6D0C" w:rsidRDefault="001A6D0C" w:rsidP="001A6D0C">
      <w:pPr>
        <w:spacing w:after="0"/>
        <w:jc w:val="center"/>
        <w:rPr>
          <w:rFonts w:ascii="Century" w:hAnsi="Century"/>
          <w:i/>
        </w:rPr>
      </w:pPr>
      <w:r w:rsidRPr="001A6D0C">
        <w:rPr>
          <w:rFonts w:ascii="Century" w:hAnsi="Century"/>
          <w:b/>
          <w:i/>
        </w:rPr>
        <w:t>Figure 2.</w:t>
      </w:r>
      <w:r w:rsidRPr="001A6D0C">
        <w:rPr>
          <w:rFonts w:ascii="Century" w:hAnsi="Century"/>
          <w:i/>
        </w:rPr>
        <w:t xml:space="preserve"> Diagramme potentiel-pH de quelques espèces de l’iode.</w:t>
      </w:r>
    </w:p>
    <w:p w14:paraId="099E9E01" w14:textId="77777777" w:rsidR="001A6D0C" w:rsidRPr="001A6D0C" w:rsidRDefault="001A6D0C" w:rsidP="001A6D0C">
      <w:pPr>
        <w:spacing w:after="0"/>
        <w:rPr>
          <w:rFonts w:ascii="Century" w:hAnsi="Century"/>
        </w:rPr>
      </w:pPr>
      <w:r w:rsidRPr="001A6D0C">
        <w:rPr>
          <w:rFonts w:ascii="Century" w:hAnsi="Century"/>
          <w:b/>
        </w:rPr>
        <w:t>Q18-</w:t>
      </w:r>
      <w:r w:rsidRPr="001A6D0C">
        <w:rPr>
          <w:rFonts w:ascii="Century" w:hAnsi="Century"/>
        </w:rPr>
        <w:t xml:space="preserve"> Déterminer le coefficient directeur de la droite 2 à l’aide de la formule de Nernst.</w:t>
      </w:r>
    </w:p>
    <w:p w14:paraId="25203952" w14:textId="77777777" w:rsidR="001A6D0C" w:rsidRPr="001A6D0C" w:rsidRDefault="001A6D0C" w:rsidP="001A6D0C">
      <w:pPr>
        <w:spacing w:after="0"/>
        <w:rPr>
          <w:rFonts w:ascii="Century" w:hAnsi="Century"/>
        </w:rPr>
      </w:pPr>
      <w:r w:rsidRPr="001A6D0C">
        <w:rPr>
          <w:rFonts w:ascii="Century" w:hAnsi="Century"/>
          <w:b/>
        </w:rPr>
        <w:t>Q19-</w:t>
      </w:r>
      <w:r w:rsidRPr="001A6D0C">
        <w:rPr>
          <w:rFonts w:ascii="Century" w:hAnsi="Century"/>
        </w:rPr>
        <w:t xml:space="preserve"> Écrire la réaction de titrage du diiode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1A6D0C">
        <w:rPr>
          <w:rFonts w:ascii="Century" w:hAnsi="Century"/>
        </w:rPr>
        <w:t xml:space="preserve"> par les ions thiosulfate</w:t>
      </w:r>
      <w:r>
        <w:rPr>
          <w:rFonts w:ascii="Century" w:hAnsi="Century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2-</m:t>
            </m:r>
          </m:sup>
        </m:sSubSup>
      </m:oMath>
      <w:r w:rsidRPr="001A6D0C">
        <w:rPr>
          <w:rFonts w:ascii="Century" w:hAnsi="Century"/>
        </w:rPr>
        <w:t>. Comment repère-t-on</w:t>
      </w:r>
      <w:r>
        <w:rPr>
          <w:rFonts w:ascii="Century" w:hAnsi="Century"/>
        </w:rPr>
        <w:t xml:space="preserve"> l’équivalence du titrage </w:t>
      </w:r>
      <w:r w:rsidRPr="001A6D0C">
        <w:rPr>
          <w:rFonts w:ascii="Century" w:hAnsi="Century"/>
        </w:rPr>
        <w:t>?</w:t>
      </w:r>
    </w:p>
    <w:p w14:paraId="6043D807" w14:textId="77777777" w:rsidR="00725D0A" w:rsidRPr="00725D0A" w:rsidRDefault="001A6D0C" w:rsidP="001A6D0C">
      <w:pPr>
        <w:spacing w:after="0"/>
        <w:rPr>
          <w:rFonts w:ascii="Century" w:hAnsi="Century"/>
        </w:rPr>
      </w:pPr>
      <w:r w:rsidRPr="001A6D0C">
        <w:rPr>
          <w:rFonts w:ascii="Century" w:hAnsi="Century"/>
          <w:b/>
        </w:rPr>
        <w:t>Q20-</w:t>
      </w:r>
      <w:r w:rsidRPr="001A6D0C">
        <w:rPr>
          <w:rFonts w:ascii="Century" w:hAnsi="Century"/>
        </w:rPr>
        <w:t xml:space="preserve"> Calculer la concentration massique en glucose dans un jus d’orange.</w:t>
      </w:r>
    </w:p>
    <w:p w14:paraId="25C36B32" w14:textId="77777777" w:rsidR="001A6D0C" w:rsidRDefault="001A6D0C">
      <w:pPr>
        <w:rPr>
          <w:rFonts w:ascii="Century" w:hAnsi="Century"/>
        </w:rPr>
      </w:pPr>
      <w:r>
        <w:rPr>
          <w:rFonts w:ascii="Century" w:hAnsi="Century"/>
        </w:rPr>
        <w:br w:type="page"/>
      </w:r>
    </w:p>
    <w:p w14:paraId="54F43128" w14:textId="77777777" w:rsidR="001A6D0C" w:rsidRPr="001A6D0C" w:rsidRDefault="001A6D0C" w:rsidP="001A6D0C">
      <w:pPr>
        <w:spacing w:after="120"/>
        <w:rPr>
          <w:rFonts w:ascii="Century" w:hAnsi="Century"/>
          <w:b/>
          <w:sz w:val="28"/>
          <w:szCs w:val="28"/>
        </w:rPr>
      </w:pPr>
      <w:r w:rsidRPr="001A6D0C">
        <w:rPr>
          <w:rFonts w:ascii="Century" w:hAnsi="Century"/>
          <w:b/>
          <w:sz w:val="28"/>
          <w:szCs w:val="28"/>
        </w:rPr>
        <w:lastRenderedPageBreak/>
        <w:t>Annexes</w:t>
      </w:r>
    </w:p>
    <w:p w14:paraId="370EBD20" w14:textId="77777777" w:rsidR="001A6D0C" w:rsidRPr="001A6D0C" w:rsidRDefault="001A6D0C" w:rsidP="001A6D0C">
      <w:pPr>
        <w:spacing w:after="120"/>
        <w:rPr>
          <w:rFonts w:ascii="Century" w:hAnsi="Century"/>
          <w:i/>
        </w:rPr>
      </w:pPr>
      <w:r w:rsidRPr="001A6D0C">
        <w:rPr>
          <w:rFonts w:ascii="Century" w:hAnsi="Century"/>
          <w:b/>
          <w:i/>
        </w:rPr>
        <w:t>Annexe 1.</w:t>
      </w:r>
      <w:r w:rsidRPr="001A6D0C">
        <w:rPr>
          <w:rFonts w:ascii="Century" w:hAnsi="Century"/>
          <w:i/>
        </w:rPr>
        <w:t xml:space="preserve"> Constantes usuelles et approximations de calcul.</w:t>
      </w:r>
    </w:p>
    <w:p w14:paraId="4B7A3630" w14:textId="77777777" w:rsidR="001A6D0C" w:rsidRPr="001A6D0C" w:rsidRDefault="001A6D0C" w:rsidP="001A6D0C">
      <w:pPr>
        <w:spacing w:after="0"/>
        <w:rPr>
          <w:rFonts w:ascii="Century" w:hAnsi="Century" w:cs="Calibri"/>
        </w:rPr>
      </w:pPr>
      <w:r>
        <w:rPr>
          <w:rFonts w:ascii="Century" w:hAnsi="Century"/>
        </w:rPr>
        <w:t>Constante de Faraday </w:t>
      </w:r>
      <w:r w:rsidRPr="001A6D0C">
        <w:rPr>
          <w:rFonts w:ascii="Century" w:hAnsi="Century"/>
        </w:rPr>
        <w:t xml:space="preserve">: </w:t>
      </w:r>
      <w:r w:rsidRPr="001A6D0C">
        <w:rPr>
          <w:rFonts w:ascii="Times New Roman" w:hAnsi="Times New Roman" w:cs="Times New Roman"/>
        </w:rPr>
        <w:t>ℱ</w:t>
      </w:r>
      <w:r w:rsidRPr="001A6D0C">
        <w:rPr>
          <w:rFonts w:ascii="Century" w:hAnsi="Century" w:cs="Calibri"/>
        </w:rPr>
        <w:t xml:space="preserve"> ≈ 10</w:t>
      </w:r>
      <w:r w:rsidRPr="001A6D0C">
        <w:rPr>
          <w:rFonts w:ascii="Century" w:hAnsi="Century" w:cs="Calibri"/>
          <w:vertAlign w:val="superscript"/>
        </w:rPr>
        <w:t>5</w:t>
      </w:r>
      <w:r w:rsidRPr="001A6D0C">
        <w:rPr>
          <w:rFonts w:ascii="Century" w:hAnsi="Century" w:cs="Calibri"/>
        </w:rPr>
        <w:t xml:space="preserve"> C·mol</w:t>
      </w:r>
      <w:r w:rsidRPr="001A6D0C">
        <w:rPr>
          <w:rFonts w:ascii="Century" w:hAnsi="Century" w:cs="Calibri"/>
          <w:vertAlign w:val="superscript"/>
        </w:rPr>
        <w:t>–1</w:t>
      </w:r>
      <w:r w:rsidRPr="001A6D0C">
        <w:rPr>
          <w:rFonts w:ascii="Century" w:hAnsi="Century" w:cs="Calibri"/>
        </w:rPr>
        <w:t>.</w:t>
      </w:r>
    </w:p>
    <w:p w14:paraId="2A7DA6CE" w14:textId="77777777" w:rsidR="001A6D0C" w:rsidRPr="001A6D0C" w:rsidRDefault="001A6D0C" w:rsidP="001A6D0C">
      <w:pPr>
        <w:spacing w:after="0"/>
        <w:rPr>
          <w:rFonts w:ascii="Century" w:hAnsi="Century"/>
        </w:rPr>
      </w:pPr>
      <w:r w:rsidRPr="001A6D0C">
        <w:rPr>
          <w:rFonts w:ascii="Century" w:hAnsi="Century"/>
        </w:rPr>
        <w:t>Constante d’Avo</w:t>
      </w:r>
      <w:r>
        <w:rPr>
          <w:rFonts w:ascii="Century" w:hAnsi="Century"/>
        </w:rPr>
        <w:t>gadro </w:t>
      </w:r>
      <w:r w:rsidRPr="001A6D0C">
        <w:rPr>
          <w:rFonts w:ascii="Century" w:hAnsi="Century"/>
        </w:rPr>
        <w:t xml:space="preserve">: </w:t>
      </w:r>
      <w:r w:rsidRPr="001A6D0C">
        <w:rPr>
          <w:rFonts w:ascii="Cambria Math" w:hAnsi="Cambria Math" w:cs="Cambria Math"/>
        </w:rPr>
        <w:t>𝒩</w:t>
      </w:r>
      <w:r w:rsidRPr="001A6D0C">
        <w:rPr>
          <w:rFonts w:ascii="Century" w:hAnsi="Century"/>
          <w:vertAlign w:val="subscript"/>
        </w:rPr>
        <w:t>a</w:t>
      </w:r>
      <w:r w:rsidRPr="001A6D0C">
        <w:rPr>
          <w:rFonts w:ascii="Century" w:hAnsi="Century"/>
        </w:rPr>
        <w:t xml:space="preserve"> ≈ 6.10</w:t>
      </w:r>
      <w:r w:rsidRPr="001A6D0C">
        <w:rPr>
          <w:rFonts w:ascii="Century" w:hAnsi="Century"/>
          <w:vertAlign w:val="superscript"/>
        </w:rPr>
        <w:t>23</w:t>
      </w:r>
      <w:r w:rsidRPr="001A6D0C">
        <w:rPr>
          <w:rFonts w:ascii="Century" w:hAnsi="Century"/>
        </w:rPr>
        <w:t xml:space="preserve"> mol</w:t>
      </w:r>
      <w:r w:rsidRPr="001A6D0C">
        <w:rPr>
          <w:rFonts w:ascii="Century" w:hAnsi="Century"/>
          <w:vertAlign w:val="superscript"/>
        </w:rPr>
        <w:t>–1</w:t>
      </w:r>
      <w:r w:rsidRPr="001A6D0C">
        <w:rPr>
          <w:rFonts w:ascii="Century" w:hAnsi="Century"/>
        </w:rPr>
        <w:t>.</w:t>
      </w:r>
    </w:p>
    <w:p w14:paraId="3174FEBC" w14:textId="77777777" w:rsidR="001A6D0C" w:rsidRPr="001A6D0C" w:rsidRDefault="001A6D0C" w:rsidP="001A6D0C">
      <w:pPr>
        <w:spacing w:after="0"/>
        <w:rPr>
          <w:rFonts w:ascii="Century" w:hAnsi="Century"/>
        </w:rPr>
      </w:pPr>
      <w:r>
        <w:rPr>
          <w:rFonts w:ascii="Century" w:hAnsi="Century"/>
        </w:rPr>
        <w:t>Constante des gaz parfaits </w:t>
      </w:r>
      <w:r w:rsidRPr="001A6D0C">
        <w:rPr>
          <w:rFonts w:ascii="Century" w:hAnsi="Century"/>
        </w:rPr>
        <w:t>: R ≈ 8 J·K</w:t>
      </w:r>
      <w:r w:rsidRPr="001A6D0C">
        <w:rPr>
          <w:rFonts w:ascii="Century" w:hAnsi="Century"/>
          <w:vertAlign w:val="superscript"/>
        </w:rPr>
        <w:t>–1</w:t>
      </w:r>
      <w:r w:rsidRPr="001A6D0C">
        <w:rPr>
          <w:rFonts w:ascii="Century" w:hAnsi="Century"/>
        </w:rPr>
        <w:t>·mol</w:t>
      </w:r>
      <w:r w:rsidRPr="001A6D0C">
        <w:rPr>
          <w:rFonts w:ascii="Century" w:hAnsi="Century"/>
          <w:vertAlign w:val="superscript"/>
        </w:rPr>
        <w:t>–1</w:t>
      </w:r>
      <w:r w:rsidRPr="001A6D0C">
        <w:rPr>
          <w:rFonts w:ascii="Century" w:hAnsi="Century"/>
        </w:rPr>
        <w:t>.</w:t>
      </w:r>
    </w:p>
    <w:p w14:paraId="705D3A3A" w14:textId="77777777" w:rsidR="001A6D0C" w:rsidRPr="001A6D0C" w:rsidRDefault="001A6D0C" w:rsidP="001A6D0C">
      <w:pPr>
        <w:spacing w:after="120"/>
        <w:rPr>
          <w:rFonts w:ascii="Century" w:hAnsi="Century"/>
        </w:rPr>
      </w:pPr>
      <w:r>
        <w:rPr>
          <w:rFonts w:ascii="Century" w:hAnsi="Century"/>
        </w:rPr>
        <w:t>Approximations </w:t>
      </w:r>
      <w:r w:rsidRPr="001A6D0C">
        <w:rPr>
          <w:rFonts w:ascii="Century" w:hAnsi="Century"/>
        </w:rPr>
        <w:t xml:space="preserve">: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≈1,8</m:t>
        </m:r>
      </m:oMath>
      <w:r w:rsidRPr="001A6D0C">
        <w:rPr>
          <w:rFonts w:ascii="Century" w:hAnsi="Century"/>
        </w:rPr>
        <w:t xml:space="preserve"> et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≈1,4</m:t>
        </m:r>
      </m:oMath>
      <w:r w:rsidRPr="001A6D0C">
        <w:rPr>
          <w:rFonts w:ascii="Century" w:hAnsi="Century"/>
        </w:rPr>
        <w:t>.</w:t>
      </w:r>
    </w:p>
    <w:p w14:paraId="438FAB4C" w14:textId="77777777" w:rsidR="001A6D0C" w:rsidRPr="001A6D0C" w:rsidRDefault="001A6D0C" w:rsidP="001A6D0C">
      <w:pPr>
        <w:spacing w:after="120"/>
        <w:rPr>
          <w:rFonts w:ascii="Century" w:hAnsi="Century"/>
          <w:i/>
        </w:rPr>
      </w:pPr>
      <w:r w:rsidRPr="001A6D0C">
        <w:rPr>
          <w:rFonts w:ascii="Century" w:hAnsi="Century"/>
          <w:b/>
          <w:i/>
        </w:rPr>
        <w:t>Annexe 2.</w:t>
      </w:r>
      <w:r w:rsidRPr="001A6D0C">
        <w:rPr>
          <w:rFonts w:ascii="Century" w:hAnsi="Century"/>
          <w:i/>
        </w:rPr>
        <w:t xml:space="preserve"> Données numériques.</w:t>
      </w:r>
    </w:p>
    <w:p w14:paraId="79AB4F8F" w14:textId="77777777" w:rsidR="001A6D0C" w:rsidRPr="001A6D0C" w:rsidRDefault="001A6D0C" w:rsidP="001A6D0C">
      <w:pPr>
        <w:spacing w:after="0"/>
        <w:rPr>
          <w:rFonts w:ascii="Century" w:hAnsi="Century"/>
        </w:rPr>
      </w:pPr>
      <w:r w:rsidRPr="001A6D0C">
        <w:rPr>
          <w:rFonts w:ascii="Century" w:hAnsi="Century"/>
        </w:rPr>
        <w:t>Volume mo</w:t>
      </w:r>
      <w:r>
        <w:rPr>
          <w:rFonts w:ascii="Century" w:hAnsi="Century"/>
        </w:rPr>
        <w:t>laire d’un gaz parfait à T = 25</w:t>
      </w:r>
      <w:r w:rsidRPr="001A6D0C">
        <w:rPr>
          <w:rFonts w:ascii="Century" w:hAnsi="Century"/>
        </w:rPr>
        <w:t xml:space="preserve">°C et P = 1 bar : </w:t>
      </w:r>
      <w:proofErr w:type="spellStart"/>
      <w:r w:rsidRPr="001A6D0C">
        <w:rPr>
          <w:rFonts w:ascii="Century" w:hAnsi="Century"/>
        </w:rPr>
        <w:t>V</w:t>
      </w:r>
      <w:r w:rsidRPr="001A6D0C">
        <w:rPr>
          <w:rFonts w:ascii="Century" w:hAnsi="Century"/>
          <w:vertAlign w:val="subscript"/>
        </w:rPr>
        <w:t>m</w:t>
      </w:r>
      <w:proofErr w:type="spellEnd"/>
      <w:r w:rsidRPr="001A6D0C">
        <w:rPr>
          <w:rFonts w:ascii="Century" w:hAnsi="Century"/>
        </w:rPr>
        <w:t xml:space="preserve"> = 24 </w:t>
      </w:r>
      <w:proofErr w:type="spellStart"/>
      <w:r w:rsidRPr="001A6D0C">
        <w:rPr>
          <w:rFonts w:ascii="Century" w:hAnsi="Century"/>
        </w:rPr>
        <w:t>L·mol</w:t>
      </w:r>
      <w:proofErr w:type="spellEnd"/>
      <w:r w:rsidRPr="001A6D0C">
        <w:rPr>
          <w:rFonts w:ascii="Century" w:hAnsi="Century"/>
          <w:vertAlign w:val="superscript"/>
        </w:rPr>
        <w:t>–1</w:t>
      </w:r>
      <w:r w:rsidRPr="001A6D0C">
        <w:rPr>
          <w:rFonts w:ascii="Century" w:hAnsi="Century"/>
        </w:rPr>
        <w:t>.</w:t>
      </w:r>
    </w:p>
    <w:p w14:paraId="3C180FB2" w14:textId="77777777" w:rsidR="001A6D0C" w:rsidRPr="001A6D0C" w:rsidRDefault="001A6D0C" w:rsidP="001A6D0C">
      <w:pPr>
        <w:spacing w:after="0"/>
        <w:rPr>
          <w:rFonts w:ascii="Century" w:hAnsi="Century"/>
        </w:rPr>
      </w:pPr>
      <w:r w:rsidRPr="001A6D0C">
        <w:rPr>
          <w:rFonts w:ascii="Century" w:hAnsi="Century"/>
        </w:rPr>
        <w:t>Numéro atomique : Z(B) = 5 ; Z(Fe) = 26 et Z(Ti) = 22.</w:t>
      </w:r>
    </w:p>
    <w:p w14:paraId="021EE520" w14:textId="77777777" w:rsidR="001A6D0C" w:rsidRPr="001A6D0C" w:rsidRDefault="001A6D0C" w:rsidP="001A6D0C">
      <w:pPr>
        <w:spacing w:after="0"/>
        <w:rPr>
          <w:rFonts w:ascii="Century" w:hAnsi="Century"/>
        </w:rPr>
      </w:pPr>
      <w:r w:rsidRPr="001A6D0C">
        <w:rPr>
          <w:rFonts w:ascii="Century" w:hAnsi="Century"/>
        </w:rPr>
        <w:t>Rayons métalliques : R(Fe) = 125 pm et R(Ti) = 145 pm.</w:t>
      </w:r>
    </w:p>
    <w:p w14:paraId="7648BEB5" w14:textId="77777777" w:rsidR="001A6D0C" w:rsidRPr="001A6D0C" w:rsidRDefault="001A6D0C" w:rsidP="001A6D0C">
      <w:pPr>
        <w:spacing w:after="0"/>
        <w:rPr>
          <w:rFonts w:ascii="Century" w:hAnsi="Century"/>
        </w:rPr>
      </w:pPr>
      <w:r w:rsidRPr="001A6D0C">
        <w:rPr>
          <w:rFonts w:ascii="Century" w:hAnsi="Century"/>
        </w:rPr>
        <w:t>Rayon atomique de l’hydrogène : R(H) = 35 pm.</w:t>
      </w:r>
    </w:p>
    <w:p w14:paraId="5FC92DE6" w14:textId="77777777" w:rsidR="001A6D0C" w:rsidRPr="001A6D0C" w:rsidRDefault="001A6D0C" w:rsidP="001A6D0C">
      <w:pPr>
        <w:spacing w:after="120"/>
        <w:rPr>
          <w:rFonts w:ascii="Century" w:hAnsi="Century"/>
        </w:rPr>
      </w:pPr>
      <w:r w:rsidRPr="001A6D0C">
        <w:rPr>
          <w:rFonts w:ascii="Century" w:hAnsi="Century"/>
        </w:rPr>
        <w:t>Masses molaires : M(Zn) = 65 g·mol</w:t>
      </w:r>
      <w:r w:rsidRPr="001A6D0C">
        <w:rPr>
          <w:rFonts w:ascii="Century" w:hAnsi="Century"/>
          <w:vertAlign w:val="superscript"/>
        </w:rPr>
        <w:t>–1</w:t>
      </w:r>
      <w:r w:rsidRPr="001A6D0C">
        <w:rPr>
          <w:rFonts w:ascii="Century" w:hAnsi="Century"/>
        </w:rPr>
        <w:t xml:space="preserve"> ; M(glucose) = 180 g·mol</w:t>
      </w:r>
      <w:r w:rsidRPr="001A6D0C">
        <w:rPr>
          <w:rFonts w:ascii="Century" w:hAnsi="Century"/>
          <w:vertAlign w:val="superscript"/>
        </w:rPr>
        <w:t>–1</w:t>
      </w:r>
      <w:r w:rsidRPr="001A6D0C">
        <w:rPr>
          <w:rFonts w:ascii="Century" w:hAnsi="Century"/>
        </w:rPr>
        <w:t>.</w:t>
      </w:r>
    </w:p>
    <w:p w14:paraId="43F2C2F8" w14:textId="77777777" w:rsidR="00CD11AC" w:rsidRPr="001A6D0C" w:rsidRDefault="001A6D0C" w:rsidP="001A6D0C">
      <w:pPr>
        <w:spacing w:after="120"/>
        <w:rPr>
          <w:rFonts w:ascii="Century" w:hAnsi="Century"/>
          <w:i/>
        </w:rPr>
      </w:pPr>
      <w:r w:rsidRPr="001A6D0C">
        <w:rPr>
          <w:rFonts w:ascii="Century" w:hAnsi="Century"/>
          <w:b/>
          <w:i/>
        </w:rPr>
        <w:t>Annexe 3.</w:t>
      </w:r>
      <w:r w:rsidRPr="001A6D0C">
        <w:rPr>
          <w:rFonts w:ascii="Century" w:hAnsi="Century"/>
          <w:i/>
        </w:rPr>
        <w:t xml:space="preserve"> Données thermodynamiques à 298 K (valeurs arrondies).</w:t>
      </w:r>
    </w:p>
    <w:p w14:paraId="532E8BF2" w14:textId="77777777" w:rsidR="001A6D0C" w:rsidRDefault="001A6D0C" w:rsidP="001A6D0C">
      <w:pPr>
        <w:spacing w:after="120"/>
        <w:rPr>
          <w:rFonts w:ascii="Century" w:hAnsi="Century"/>
        </w:rPr>
      </w:pPr>
      <w:r>
        <w:rPr>
          <w:rFonts w:ascii="Century" w:hAnsi="Century"/>
          <w:noProof/>
          <w:lang w:eastAsia="fr-FR"/>
        </w:rPr>
        <w:drawing>
          <wp:inline distT="0" distB="0" distL="0" distR="0" wp14:anchorId="5B02E178" wp14:editId="189093A2">
            <wp:extent cx="3181350" cy="1028700"/>
            <wp:effectExtent l="19050" t="0" r="0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BB9350" w14:textId="0D7760E4" w:rsidR="001A6D0C" w:rsidRDefault="001A6D0C" w:rsidP="001A6D0C">
      <w:pPr>
        <w:spacing w:after="120"/>
        <w:rPr>
          <w:rFonts w:ascii="Century" w:hAnsi="Century"/>
        </w:rPr>
      </w:pPr>
      <w:r w:rsidRPr="001A6D0C">
        <w:rPr>
          <w:rFonts w:ascii="Century" w:hAnsi="Century"/>
        </w:rPr>
        <w:t>Pote</w:t>
      </w:r>
      <w:r>
        <w:rPr>
          <w:rFonts w:ascii="Century" w:hAnsi="Century"/>
        </w:rPr>
        <w:t>ntiels redox standards à pH = 0 </w:t>
      </w:r>
      <w:r w:rsidRPr="001A6D0C">
        <w:rPr>
          <w:rFonts w:ascii="Century" w:hAnsi="Century"/>
        </w:rPr>
        <w:t>: E°(O</w:t>
      </w:r>
      <w:r w:rsidRPr="001A6D0C">
        <w:rPr>
          <w:rFonts w:ascii="Century" w:hAnsi="Century"/>
          <w:vertAlign w:val="subscript"/>
        </w:rPr>
        <w:t>2</w:t>
      </w:r>
      <w:r w:rsidRPr="001A6D0C">
        <w:rPr>
          <w:rFonts w:ascii="Century" w:hAnsi="Century"/>
        </w:rPr>
        <w:t>/H</w:t>
      </w:r>
      <w:r w:rsidRPr="001A6D0C">
        <w:rPr>
          <w:rFonts w:ascii="Century" w:hAnsi="Century"/>
          <w:vertAlign w:val="subscript"/>
        </w:rPr>
        <w:t>2</w:t>
      </w:r>
      <w:r w:rsidRPr="001A6D0C">
        <w:rPr>
          <w:rFonts w:ascii="Century" w:hAnsi="Century"/>
        </w:rPr>
        <w:t>O) = 1,23 V ; E°(</w:t>
      </w:r>
      <w:proofErr w:type="spellStart"/>
      <w:r w:rsidRPr="001A6D0C">
        <w:rPr>
          <w:rFonts w:ascii="Century" w:hAnsi="Century"/>
        </w:rPr>
        <w:t>ZnO</w:t>
      </w:r>
      <w:proofErr w:type="spellEnd"/>
      <w:r w:rsidRPr="001A6D0C">
        <w:rPr>
          <w:rFonts w:ascii="Century" w:hAnsi="Century"/>
        </w:rPr>
        <w:t>/Zn) = –0,43 V ; E</w:t>
      </w:r>
      <w:proofErr w:type="gramStart"/>
      <w:r w:rsidRPr="001A6D0C">
        <w:rPr>
          <w:rFonts w:ascii="Century" w:hAnsi="Century"/>
        </w:rPr>
        <w:t>°(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6</m:t>
            </m:r>
          </m:sub>
          <m:sup>
            <m:r>
              <w:rPr>
                <w:rFonts w:ascii="Cambria Math" w:hAnsi="Cambria Math"/>
              </w:rPr>
              <m:t>2-</m:t>
            </m:r>
          </m:sup>
        </m:sSubSup>
      </m:oMath>
      <w:r w:rsidRPr="001A6D0C">
        <w:rPr>
          <w:rFonts w:ascii="Century" w:hAnsi="Century"/>
        </w:rPr>
        <w:t>/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2-</m:t>
            </m:r>
          </m:sup>
        </m:sSubSup>
      </m:oMath>
      <w:r w:rsidRPr="001A6D0C">
        <w:rPr>
          <w:rFonts w:ascii="Century" w:hAnsi="Century"/>
        </w:rPr>
        <w:t>)</w:t>
      </w:r>
      <w:r>
        <w:rPr>
          <w:rFonts w:ascii="Century" w:hAnsi="Century"/>
        </w:rPr>
        <w:t xml:space="preserve"> </w:t>
      </w:r>
      <w:r w:rsidRPr="001A6D0C">
        <w:rPr>
          <w:rFonts w:ascii="Century" w:hAnsi="Century"/>
        </w:rPr>
        <w:t>= 0,08 V.</w:t>
      </w:r>
    </w:p>
    <w:p w14:paraId="37CCBA69" w14:textId="44180EBC" w:rsidR="004C7F8E" w:rsidRDefault="004C7F8E" w:rsidP="001A6D0C">
      <w:pPr>
        <w:spacing w:after="120"/>
        <w:rPr>
          <w:rFonts w:ascii="Century" w:hAnsi="Century"/>
        </w:rPr>
      </w:pPr>
    </w:p>
    <w:p w14:paraId="69FA0BCD" w14:textId="38A39895" w:rsidR="004C7F8E" w:rsidRDefault="004C7F8E" w:rsidP="001A6D0C">
      <w:pPr>
        <w:spacing w:after="120"/>
        <w:rPr>
          <w:rFonts w:ascii="Century" w:hAnsi="Century"/>
        </w:rPr>
      </w:pPr>
    </w:p>
    <w:p w14:paraId="77214F30" w14:textId="53E7D414" w:rsidR="004C7F8E" w:rsidRDefault="004C7F8E" w:rsidP="001A6D0C">
      <w:pPr>
        <w:spacing w:after="120"/>
        <w:rPr>
          <w:rFonts w:ascii="Century" w:hAnsi="Century"/>
        </w:rPr>
      </w:pPr>
    </w:p>
    <w:p w14:paraId="7FBFF5FA" w14:textId="024C7B8C" w:rsidR="004C7F8E" w:rsidRDefault="004C7F8E" w:rsidP="001A6D0C">
      <w:pPr>
        <w:spacing w:after="120"/>
        <w:rPr>
          <w:rFonts w:ascii="Century" w:hAnsi="Century"/>
        </w:rPr>
      </w:pPr>
    </w:p>
    <w:p w14:paraId="4B2C69EC" w14:textId="01E86832" w:rsidR="004C7F8E" w:rsidRDefault="004C7F8E" w:rsidP="001A6D0C">
      <w:pPr>
        <w:spacing w:after="120"/>
        <w:rPr>
          <w:rFonts w:ascii="Century" w:hAnsi="Century"/>
        </w:rPr>
      </w:pPr>
    </w:p>
    <w:p w14:paraId="4BF1E808" w14:textId="1A5F58A6" w:rsidR="004C7F8E" w:rsidRDefault="004C7F8E" w:rsidP="001A6D0C">
      <w:pPr>
        <w:spacing w:after="120"/>
        <w:rPr>
          <w:rFonts w:ascii="Century" w:hAnsi="Century"/>
        </w:rPr>
      </w:pPr>
    </w:p>
    <w:p w14:paraId="56D88556" w14:textId="4B801473" w:rsidR="004C7F8E" w:rsidRDefault="004C7F8E" w:rsidP="001A6D0C">
      <w:pPr>
        <w:spacing w:after="120"/>
        <w:rPr>
          <w:rFonts w:ascii="Century" w:hAnsi="Century"/>
        </w:rPr>
      </w:pPr>
    </w:p>
    <w:p w14:paraId="0B9D6250" w14:textId="2FD14512" w:rsidR="004C7F8E" w:rsidRDefault="004C7F8E" w:rsidP="001A6D0C">
      <w:pPr>
        <w:spacing w:after="120"/>
        <w:rPr>
          <w:rFonts w:ascii="Century" w:hAnsi="Century"/>
        </w:rPr>
      </w:pPr>
    </w:p>
    <w:p w14:paraId="0A538B40" w14:textId="4211C335" w:rsidR="004C7F8E" w:rsidRDefault="004C7F8E" w:rsidP="001A6D0C">
      <w:pPr>
        <w:spacing w:after="120"/>
        <w:rPr>
          <w:rFonts w:ascii="Century" w:hAnsi="Century"/>
        </w:rPr>
      </w:pPr>
    </w:p>
    <w:p w14:paraId="3E7AA17E" w14:textId="0192456E" w:rsidR="004C7F8E" w:rsidRDefault="004C7F8E" w:rsidP="001A6D0C">
      <w:pPr>
        <w:spacing w:after="120"/>
        <w:rPr>
          <w:rFonts w:ascii="Century" w:hAnsi="Century"/>
        </w:rPr>
      </w:pPr>
    </w:p>
    <w:p w14:paraId="637E3A97" w14:textId="7C9AA472" w:rsidR="004C7F8E" w:rsidRDefault="004C7F8E" w:rsidP="001A6D0C">
      <w:pPr>
        <w:spacing w:after="120"/>
        <w:rPr>
          <w:rFonts w:ascii="Century" w:hAnsi="Century"/>
        </w:rPr>
      </w:pPr>
    </w:p>
    <w:p w14:paraId="53A39CCE" w14:textId="46C35A2F" w:rsidR="004C7F8E" w:rsidRDefault="004C7F8E" w:rsidP="001A6D0C">
      <w:pPr>
        <w:spacing w:after="120"/>
        <w:rPr>
          <w:rFonts w:ascii="Century" w:hAnsi="Century"/>
        </w:rPr>
      </w:pPr>
    </w:p>
    <w:p w14:paraId="4F67A4A0" w14:textId="56236903" w:rsidR="004C7F8E" w:rsidRDefault="004C7F8E" w:rsidP="001A6D0C">
      <w:pPr>
        <w:spacing w:after="120"/>
        <w:rPr>
          <w:rFonts w:ascii="Century" w:hAnsi="Century"/>
        </w:rPr>
      </w:pPr>
    </w:p>
    <w:p w14:paraId="27807E98" w14:textId="07855348" w:rsidR="004C7F8E" w:rsidRDefault="004C7F8E" w:rsidP="001A6D0C">
      <w:pPr>
        <w:spacing w:after="120"/>
        <w:rPr>
          <w:rFonts w:ascii="Century" w:hAnsi="Century"/>
        </w:rPr>
      </w:pPr>
    </w:p>
    <w:p w14:paraId="20D89E44" w14:textId="313C5784" w:rsidR="004C7F8E" w:rsidRDefault="004C7F8E" w:rsidP="001A6D0C">
      <w:pPr>
        <w:spacing w:after="120"/>
        <w:rPr>
          <w:rFonts w:ascii="Century" w:hAnsi="Century"/>
        </w:rPr>
      </w:pPr>
    </w:p>
    <w:p w14:paraId="72F6415C" w14:textId="6C366187" w:rsidR="004C7F8E" w:rsidRDefault="004C7F8E" w:rsidP="001A6D0C">
      <w:pPr>
        <w:spacing w:after="120"/>
        <w:rPr>
          <w:rFonts w:ascii="Century" w:hAnsi="Century"/>
        </w:rPr>
      </w:pPr>
    </w:p>
    <w:p w14:paraId="0655F4C9" w14:textId="6977F2A0" w:rsidR="004C7F8E" w:rsidRDefault="004C7F8E" w:rsidP="004C7F8E">
      <w:pPr>
        <w:pStyle w:val="Titre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u w:val="none"/>
        </w:rPr>
      </w:pPr>
      <w:r>
        <w:rPr>
          <w:u w:val="none"/>
        </w:rPr>
        <w:lastRenderedPageBreak/>
        <w:t>L</w:t>
      </w:r>
      <w:r>
        <w:rPr>
          <w:u w:val="none"/>
        </w:rPr>
        <w:t>e béton</w:t>
      </w:r>
    </w:p>
    <w:p w14:paraId="2A9C735A" w14:textId="77777777" w:rsidR="004C7F8E" w:rsidRDefault="004C7F8E" w:rsidP="004C7F8E">
      <w:pPr>
        <w:jc w:val="both"/>
      </w:pPr>
    </w:p>
    <w:p w14:paraId="4F01FD3D" w14:textId="77777777" w:rsidR="004C7F8E" w:rsidRDefault="004C7F8E" w:rsidP="004C7F8E">
      <w:pPr>
        <w:pStyle w:val="Corpsdetexte2"/>
        <w:jc w:val="both"/>
      </w:pPr>
      <w:r>
        <w:t>Des données utiles pour la résolution du problème sont fournies à la fin de l’énoncé.</w:t>
      </w:r>
    </w:p>
    <w:p w14:paraId="1A5CFA2F" w14:textId="77777777" w:rsidR="004C7F8E" w:rsidRDefault="004C7F8E" w:rsidP="004C7F8E">
      <w:pPr>
        <w:pStyle w:val="Corpsdetexte2"/>
        <w:jc w:val="both"/>
      </w:pPr>
    </w:p>
    <w:p w14:paraId="7BF69B90" w14:textId="77777777" w:rsidR="004C7F8E" w:rsidRPr="00DA7EAD" w:rsidRDefault="004C7F8E" w:rsidP="004C7F8E">
      <w:pPr>
        <w:jc w:val="both"/>
        <w:rPr>
          <w:b/>
          <w:bCs/>
        </w:rPr>
      </w:pPr>
      <w:r w:rsidRPr="008F4B57">
        <w:rPr>
          <w:i/>
        </w:rPr>
        <w:t>Ce problème s’intéresse à l’étude de quelques propriétés physico-chimiques du ciment et des bétons armés. Le clinker est le principal constituant d’un ciment, il est obtenu à partir d’un mélange de 80% de calcaire (CaCO</w:t>
      </w:r>
      <w:r w:rsidRPr="008F4B57">
        <w:rPr>
          <w:i/>
          <w:vertAlign w:val="subscript"/>
        </w:rPr>
        <w:t>3</w:t>
      </w:r>
      <w:r w:rsidRPr="008F4B57">
        <w:rPr>
          <w:i/>
        </w:rPr>
        <w:t>(s)) et de 20% d’argile (</w:t>
      </w:r>
      <w:proofErr w:type="spellStart"/>
      <w:r w:rsidRPr="008F4B57">
        <w:rPr>
          <w:i/>
        </w:rPr>
        <w:t>silicoaluminates</w:t>
      </w:r>
      <w:proofErr w:type="spellEnd"/>
      <w:r w:rsidRPr="008F4B57">
        <w:rPr>
          <w:i/>
        </w:rPr>
        <w:t>). Le ciment est principalement utilisé pour fabriquer le béton qui est un mélange de ciment, sable, granulats et eau. Le béton forme après la « prise » une véritable roche artificielle. La « prise » est le phénomène de durcissement en présence d’eau.</w:t>
      </w:r>
    </w:p>
    <w:p w14:paraId="2C5AF9FB" w14:textId="77777777" w:rsidR="004C7F8E" w:rsidRDefault="004C7F8E" w:rsidP="004C7F8E">
      <w:pPr>
        <w:rPr>
          <w:b/>
        </w:rPr>
      </w:pPr>
      <w:r>
        <w:rPr>
          <w:b/>
        </w:rPr>
        <w:t>A</w:t>
      </w:r>
      <w:r w:rsidRPr="000625F5">
        <w:rPr>
          <w:b/>
        </w:rPr>
        <w:t xml:space="preserve">) </w:t>
      </w:r>
      <w:r>
        <w:rPr>
          <w:b/>
        </w:rPr>
        <w:t>Prise d'un béton.</w:t>
      </w:r>
    </w:p>
    <w:p w14:paraId="3934D612" w14:textId="77777777" w:rsidR="004C7F8E" w:rsidRPr="008F4B57" w:rsidRDefault="004C7F8E" w:rsidP="004C7F8E">
      <w:pPr>
        <w:jc w:val="both"/>
      </w:pPr>
    </w:p>
    <w:p w14:paraId="3B0539BF" w14:textId="77777777" w:rsidR="004C7F8E" w:rsidRDefault="004C7F8E" w:rsidP="004C7F8E">
      <w:pPr>
        <w:jc w:val="both"/>
        <w:rPr>
          <w:i/>
        </w:rPr>
      </w:pPr>
      <w:r w:rsidRPr="008F4B57">
        <w:rPr>
          <w:i/>
        </w:rPr>
        <w:t>Le ciment est modélisé par la seule espèce [Ca</w:t>
      </w:r>
      <w:r w:rsidRPr="008F4B57">
        <w:rPr>
          <w:i/>
          <w:vertAlign w:val="subscript"/>
        </w:rPr>
        <w:t>3</w:t>
      </w:r>
      <w:r w:rsidRPr="008F4B57">
        <w:rPr>
          <w:i/>
        </w:rPr>
        <w:t>SiO</w:t>
      </w:r>
      <w:proofErr w:type="gramStart"/>
      <w:r w:rsidRPr="008F4B57">
        <w:rPr>
          <w:i/>
          <w:vertAlign w:val="subscript"/>
        </w:rPr>
        <w:t>5</w:t>
      </w:r>
      <w:r w:rsidRPr="008F4B57">
        <w:rPr>
          <w:i/>
        </w:rPr>
        <w:t>](</w:t>
      </w:r>
      <w:proofErr w:type="gramEnd"/>
      <w:r w:rsidRPr="008F4B57">
        <w:rPr>
          <w:i/>
        </w:rPr>
        <w:t xml:space="preserve">s). La réaction à l’origine de la « prise » est volontairement simplifiée sous la forme suivante : </w:t>
      </w:r>
    </w:p>
    <w:p w14:paraId="5285199F" w14:textId="77777777" w:rsidR="004C7F8E" w:rsidRPr="008F4B57" w:rsidRDefault="004C7F8E" w:rsidP="004C7F8E">
      <w:pPr>
        <w:jc w:val="both"/>
        <w:rPr>
          <w:i/>
        </w:rPr>
      </w:pPr>
    </w:p>
    <w:p w14:paraId="5734BC4E" w14:textId="77777777" w:rsidR="004C7F8E" w:rsidRPr="0060581A" w:rsidRDefault="004C7F8E" w:rsidP="004C7F8E">
      <w:pPr>
        <w:jc w:val="center"/>
        <w:rPr>
          <w:i/>
          <w:lang w:val="en-US"/>
        </w:rPr>
      </w:pPr>
      <w:r w:rsidRPr="0060581A">
        <w:rPr>
          <w:i/>
          <w:lang w:val="en-US"/>
        </w:rPr>
        <w:t>2 [Ca</w:t>
      </w:r>
      <w:r w:rsidRPr="0060581A">
        <w:rPr>
          <w:i/>
          <w:vertAlign w:val="subscript"/>
          <w:lang w:val="en-US"/>
        </w:rPr>
        <w:t>3</w:t>
      </w:r>
      <w:r w:rsidRPr="0060581A">
        <w:rPr>
          <w:i/>
          <w:lang w:val="en-US"/>
        </w:rPr>
        <w:t>SiO</w:t>
      </w:r>
      <w:proofErr w:type="gramStart"/>
      <w:r w:rsidRPr="0060581A">
        <w:rPr>
          <w:i/>
          <w:vertAlign w:val="subscript"/>
          <w:lang w:val="en-US"/>
        </w:rPr>
        <w:t>5</w:t>
      </w:r>
      <w:r w:rsidRPr="0060581A">
        <w:rPr>
          <w:i/>
          <w:lang w:val="en-US"/>
        </w:rPr>
        <w:t>](</w:t>
      </w:r>
      <w:proofErr w:type="gramEnd"/>
      <w:r w:rsidRPr="0060581A">
        <w:rPr>
          <w:i/>
          <w:lang w:val="en-US"/>
        </w:rPr>
        <w:t>s) + 6 H</w:t>
      </w:r>
      <w:r w:rsidRPr="0060581A">
        <w:rPr>
          <w:i/>
          <w:vertAlign w:val="subscript"/>
          <w:lang w:val="en-US"/>
        </w:rPr>
        <w:t>2</w:t>
      </w:r>
      <w:r w:rsidRPr="0060581A">
        <w:rPr>
          <w:i/>
          <w:lang w:val="en-US"/>
        </w:rPr>
        <w:t>O (</w:t>
      </w:r>
      <w:proofErr w:type="spellStart"/>
      <w:r w:rsidRPr="0060581A">
        <w:rPr>
          <w:i/>
          <w:lang w:val="en-US"/>
        </w:rPr>
        <w:t>liq</w:t>
      </w:r>
      <w:proofErr w:type="spellEnd"/>
      <w:r w:rsidRPr="0060581A">
        <w:rPr>
          <w:i/>
          <w:lang w:val="en-US"/>
        </w:rPr>
        <w:t>) = [Ca</w:t>
      </w:r>
      <w:r w:rsidRPr="0060581A">
        <w:rPr>
          <w:i/>
          <w:vertAlign w:val="subscript"/>
          <w:lang w:val="en-US"/>
        </w:rPr>
        <w:t>3</w:t>
      </w:r>
      <w:r w:rsidRPr="0060581A">
        <w:rPr>
          <w:i/>
          <w:lang w:val="en-US"/>
        </w:rPr>
        <w:t>Si</w:t>
      </w:r>
      <w:r w:rsidRPr="0060581A">
        <w:rPr>
          <w:i/>
          <w:vertAlign w:val="subscript"/>
          <w:lang w:val="en-US"/>
        </w:rPr>
        <w:t>2</w:t>
      </w:r>
      <w:r w:rsidRPr="0060581A">
        <w:rPr>
          <w:i/>
          <w:lang w:val="en-US"/>
        </w:rPr>
        <w:t>O</w:t>
      </w:r>
      <w:r w:rsidRPr="0060581A">
        <w:rPr>
          <w:i/>
          <w:vertAlign w:val="subscript"/>
          <w:lang w:val="en-US"/>
        </w:rPr>
        <w:t>7</w:t>
      </w:r>
      <w:r w:rsidRPr="0060581A">
        <w:rPr>
          <w:i/>
          <w:lang w:val="en-US"/>
        </w:rPr>
        <w:t>, 3H</w:t>
      </w:r>
      <w:r w:rsidRPr="0060581A">
        <w:rPr>
          <w:i/>
          <w:vertAlign w:val="subscript"/>
          <w:lang w:val="en-US"/>
        </w:rPr>
        <w:t>2</w:t>
      </w:r>
      <w:r w:rsidRPr="0060581A">
        <w:rPr>
          <w:i/>
          <w:lang w:val="en-US"/>
        </w:rPr>
        <w:t>O](s) + 3 Ca(OH)</w:t>
      </w:r>
      <w:r w:rsidRPr="0060581A">
        <w:rPr>
          <w:i/>
          <w:vertAlign w:val="subscript"/>
          <w:lang w:val="en-US"/>
        </w:rPr>
        <w:t>2</w:t>
      </w:r>
      <w:r w:rsidRPr="0060581A">
        <w:rPr>
          <w:i/>
          <w:lang w:val="en-US"/>
        </w:rPr>
        <w:t>(s)     (1)</w:t>
      </w:r>
    </w:p>
    <w:p w14:paraId="1D28EA7C" w14:textId="77777777" w:rsidR="004C7F8E" w:rsidRPr="0060581A" w:rsidRDefault="004C7F8E" w:rsidP="004C7F8E">
      <w:pPr>
        <w:jc w:val="both"/>
        <w:rPr>
          <w:i/>
          <w:lang w:val="en-US"/>
        </w:rPr>
      </w:pPr>
    </w:p>
    <w:p w14:paraId="45B84AF9" w14:textId="77777777" w:rsidR="004C7F8E" w:rsidRPr="008F4B57" w:rsidRDefault="004C7F8E" w:rsidP="004C7F8E">
      <w:pPr>
        <w:jc w:val="both"/>
        <w:rPr>
          <w:rFonts w:eastAsiaTheme="minorEastAsia"/>
          <w:i/>
        </w:rPr>
      </w:pPr>
      <w:r w:rsidRPr="008F4B57">
        <w:rPr>
          <w:i/>
        </w:rPr>
        <w:t>On mélange</w:t>
      </w:r>
      <w:r>
        <w:rPr>
          <w:i/>
        </w:rPr>
        <w:t xml:space="preserve"> </w:t>
      </w:r>
      <w:r w:rsidRPr="008F4B57">
        <w:rPr>
          <w:i/>
        </w:rPr>
        <w:t>rapidement m</w:t>
      </w:r>
      <w:r w:rsidRPr="008F4B57">
        <w:rPr>
          <w:i/>
          <w:vertAlign w:val="subscript"/>
        </w:rPr>
        <w:t>1</w:t>
      </w:r>
      <w:r>
        <w:rPr>
          <w:i/>
        </w:rPr>
        <w:t>=228</w:t>
      </w:r>
      <w:r w:rsidRPr="008F4B57">
        <w:rPr>
          <w:i/>
        </w:rPr>
        <w:t xml:space="preserve"> g de ciment et m</w:t>
      </w:r>
      <w:r w:rsidRPr="008F4B57">
        <w:rPr>
          <w:i/>
          <w:vertAlign w:val="subscript"/>
        </w:rPr>
        <w:t>2</w:t>
      </w:r>
      <w:r>
        <w:rPr>
          <w:i/>
        </w:rPr>
        <w:t>=90</w:t>
      </w:r>
      <w:r w:rsidRPr="008F4B57">
        <w:rPr>
          <w:i/>
        </w:rPr>
        <w:t xml:space="preserve"> g d’eau liquide dans un calorimètre et on place un dispositif de mesure de la température. On mesure une élévation de la température : </w:t>
      </w:r>
      <m:oMath>
        <m:r>
          <w:rPr>
            <w:rFonts w:ascii="Cambria Math" w:hAnsi="Cambria Math"/>
          </w:rPr>
          <m:t>∆</m:t>
        </m:r>
        <m:r>
          <m:rPr>
            <m:nor/>
          </m:rPr>
          <w:rPr>
            <w:rFonts w:ascii="Cambria Math" w:hAnsi="Cambria Math"/>
            <w:i/>
          </w:rPr>
          <m:t>θ=15,0℃</m:t>
        </m:r>
      </m:oMath>
      <w:r w:rsidRPr="008F4B57">
        <w:rPr>
          <w:rFonts w:eastAsiaTheme="minorEastAsia"/>
          <w:i/>
        </w:rPr>
        <w:t xml:space="preserve">. </w:t>
      </w:r>
    </w:p>
    <w:p w14:paraId="4A210793" w14:textId="77777777" w:rsidR="004C7F8E" w:rsidRDefault="004C7F8E" w:rsidP="004C7F8E">
      <w:pPr>
        <w:jc w:val="both"/>
      </w:pPr>
    </w:p>
    <w:p w14:paraId="702C796D" w14:textId="77777777" w:rsidR="004C7F8E" w:rsidRDefault="004C7F8E" w:rsidP="004C7F8E">
      <w:pPr>
        <w:numPr>
          <w:ilvl w:val="0"/>
          <w:numId w:val="2"/>
        </w:numPr>
        <w:spacing w:after="0" w:line="240" w:lineRule="auto"/>
        <w:jc w:val="both"/>
      </w:pPr>
      <w:r>
        <w:t>En supposant la réaction totale, indiquer quel est le réactif limitant et calculer les quantités de matière en chacune des espèces présentes en fin d’évolution.</w:t>
      </w:r>
    </w:p>
    <w:p w14:paraId="753B416E" w14:textId="77777777" w:rsidR="004C7F8E" w:rsidRDefault="004C7F8E" w:rsidP="004C7F8E">
      <w:pPr>
        <w:jc w:val="both"/>
      </w:pPr>
    </w:p>
    <w:p w14:paraId="7D4A1C75" w14:textId="77777777" w:rsidR="004C7F8E" w:rsidRDefault="004C7F8E" w:rsidP="004C7F8E">
      <w:pPr>
        <w:numPr>
          <w:ilvl w:val="0"/>
          <w:numId w:val="2"/>
        </w:numPr>
        <w:spacing w:after="0" w:line="240" w:lineRule="auto"/>
        <w:jc w:val="both"/>
      </w:pPr>
      <w:r>
        <w:t xml:space="preserve">Le système constitué par le calorimètre et son contenu sont supposés en évolution adiabatique. Estimer la valeur de l’enthalpie standard de réaction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 xml:space="preserve">H° </m:t>
        </m:r>
      </m:oMath>
      <w:r>
        <w:t>associée à l’équation-bilan (1). On né</w:t>
      </w:r>
      <w:proofErr w:type="spellStart"/>
      <w:r>
        <w:t>gligera</w:t>
      </w:r>
      <w:proofErr w:type="spellEnd"/>
      <w:r>
        <w:t xml:space="preserve"> la capacité thermique du calorimètre.</w:t>
      </w:r>
    </w:p>
    <w:p w14:paraId="1F32AC51" w14:textId="77777777" w:rsidR="004C7F8E" w:rsidRDefault="004C7F8E" w:rsidP="004C7F8E">
      <w:pPr>
        <w:jc w:val="both"/>
      </w:pPr>
    </w:p>
    <w:p w14:paraId="614D9C1A" w14:textId="52F01225" w:rsidR="004C7F8E" w:rsidRDefault="004C7F8E" w:rsidP="004C7F8E">
      <w:pPr>
        <w:rPr>
          <w:b/>
        </w:rPr>
      </w:pPr>
      <w:r>
        <w:rPr>
          <w:b/>
        </w:rPr>
        <w:t>B</w:t>
      </w:r>
      <w:r w:rsidRPr="000625F5">
        <w:rPr>
          <w:b/>
        </w:rPr>
        <w:t xml:space="preserve">) </w:t>
      </w:r>
      <w:r>
        <w:rPr>
          <w:b/>
        </w:rPr>
        <w:t>basicité d'un béton.</w:t>
      </w:r>
    </w:p>
    <w:p w14:paraId="796A7E76" w14:textId="77777777" w:rsidR="004C7F8E" w:rsidRPr="008F4B57" w:rsidRDefault="004C7F8E" w:rsidP="004C7F8E">
      <w:pPr>
        <w:jc w:val="both"/>
        <w:rPr>
          <w:b/>
          <w:i/>
        </w:rPr>
      </w:pPr>
      <w:r w:rsidRPr="008F4B57">
        <w:rPr>
          <w:i/>
        </w:rPr>
        <w:t xml:space="preserve">L’hydroxyde de calcium </w:t>
      </w:r>
      <w:proofErr w:type="gramStart"/>
      <w:r w:rsidRPr="008F4B57">
        <w:rPr>
          <w:i/>
        </w:rPr>
        <w:t>Ca(</w:t>
      </w:r>
      <w:proofErr w:type="gramEnd"/>
      <w:r w:rsidRPr="008F4B57">
        <w:rPr>
          <w:i/>
        </w:rPr>
        <w:t>OH)</w:t>
      </w:r>
      <w:r w:rsidRPr="008F4B57">
        <w:rPr>
          <w:i/>
          <w:vertAlign w:val="subscript"/>
        </w:rPr>
        <w:t>2</w:t>
      </w:r>
      <w:r w:rsidRPr="008F4B57">
        <w:rPr>
          <w:i/>
        </w:rPr>
        <w:t>(s) confère à l’eau qui se trouve dans les po</w:t>
      </w:r>
      <w:r>
        <w:rPr>
          <w:i/>
        </w:rPr>
        <w:t>res du béton (solution interstit</w:t>
      </w:r>
      <w:r w:rsidRPr="008F4B57">
        <w:rPr>
          <w:i/>
        </w:rPr>
        <w:t>ielle) un caractère fortement basique. On étudie une solution aqueuse recueillie à la surface du béton après la prise, modélisée par une solution contenant des ions Ca</w:t>
      </w:r>
      <w:r w:rsidRPr="008F4B57">
        <w:rPr>
          <w:i/>
          <w:vertAlign w:val="superscript"/>
        </w:rPr>
        <w:t>2+</w:t>
      </w:r>
      <w:r>
        <w:rPr>
          <w:i/>
        </w:rPr>
        <w:t xml:space="preserve"> et OH </w:t>
      </w:r>
      <w:r w:rsidRPr="008F4B57">
        <w:rPr>
          <w:i/>
          <w:sz w:val="28"/>
          <w:szCs w:val="28"/>
          <w:vertAlign w:val="superscript"/>
        </w:rPr>
        <w:t>-</w:t>
      </w:r>
      <w:r w:rsidRPr="008F4B57">
        <w:rPr>
          <w:i/>
        </w:rPr>
        <w:t xml:space="preserve"> (compte tenu de la solubilité </w:t>
      </w:r>
      <w:r>
        <w:rPr>
          <w:i/>
        </w:rPr>
        <w:t>de l'hydroxyde de calcium</w:t>
      </w:r>
      <w:r w:rsidRPr="008F4B57">
        <w:rPr>
          <w:i/>
        </w:rPr>
        <w:t>). Le volume prélevé est égal à V</w:t>
      </w:r>
      <w:r w:rsidRPr="008F4B57">
        <w:rPr>
          <w:i/>
          <w:vertAlign w:val="subscript"/>
        </w:rPr>
        <w:t>0</w:t>
      </w:r>
      <w:r>
        <w:rPr>
          <w:i/>
        </w:rPr>
        <w:t xml:space="preserve">=100,0 </w:t>
      </w:r>
      <w:proofErr w:type="spellStart"/>
      <w:r>
        <w:rPr>
          <w:i/>
        </w:rPr>
        <w:t>mL</w:t>
      </w:r>
      <w:proofErr w:type="spellEnd"/>
      <w:r>
        <w:rPr>
          <w:i/>
        </w:rPr>
        <w:t>,</w:t>
      </w:r>
      <w:r w:rsidRPr="008F4B57">
        <w:rPr>
          <w:i/>
        </w:rPr>
        <w:t xml:space="preserve"> il est titré par une solution d’acide chlorhydrique concentré (H</w:t>
      </w:r>
      <w:r w:rsidRPr="008F4B57">
        <w:rPr>
          <w:i/>
          <w:vertAlign w:val="subscript"/>
        </w:rPr>
        <w:t>3</w:t>
      </w:r>
      <w:r w:rsidRPr="008F4B57">
        <w:rPr>
          <w:i/>
        </w:rPr>
        <w:t>O</w:t>
      </w:r>
      <w:r w:rsidRPr="008F4B57">
        <w:rPr>
          <w:i/>
          <w:vertAlign w:val="superscript"/>
        </w:rPr>
        <w:t>+</w:t>
      </w:r>
      <w:r w:rsidRPr="008F4B57">
        <w:rPr>
          <w:i/>
        </w:rPr>
        <w:t>, Cl</w:t>
      </w:r>
      <w:r>
        <w:rPr>
          <w:i/>
        </w:rPr>
        <w:t xml:space="preserve"> </w:t>
      </w:r>
      <w:r w:rsidRPr="00140A17">
        <w:rPr>
          <w:i/>
          <w:sz w:val="32"/>
          <w:szCs w:val="32"/>
          <w:vertAlign w:val="superscript"/>
        </w:rPr>
        <w:t>-</w:t>
      </w:r>
      <w:r w:rsidRPr="008F4B57">
        <w:rPr>
          <w:i/>
        </w:rPr>
        <w:t xml:space="preserve">) de concentration c=0,50 </w:t>
      </w:r>
      <w:proofErr w:type="gramStart"/>
      <w:r w:rsidRPr="008F4B57">
        <w:rPr>
          <w:i/>
        </w:rPr>
        <w:t>mol.L</w:t>
      </w:r>
      <w:proofErr w:type="gramEnd"/>
      <w:r w:rsidRPr="008F4B57">
        <w:rPr>
          <w:i/>
          <w:vertAlign w:val="superscript"/>
        </w:rPr>
        <w:t>-1</w:t>
      </w:r>
      <w:r w:rsidRPr="008F4B57">
        <w:rPr>
          <w:i/>
        </w:rPr>
        <w:t>. Le titrage est suivi par conductimétrie (mesure de la conductivité</w:t>
      </w:r>
      <w:r>
        <w:rPr>
          <w:i/>
        </w:rPr>
        <w:t xml:space="preserve"> </w:t>
      </w:r>
      <w:r w:rsidRPr="00AE4773">
        <w:rPr>
          <w:rFonts w:ascii="Symbol" w:hAnsi="Symbol"/>
          <w:i/>
        </w:rPr>
        <w:t></w:t>
      </w:r>
      <w:r>
        <w:rPr>
          <w:rFonts w:ascii="Symbol" w:hAnsi="Symbol"/>
          <w:i/>
        </w:rPr>
        <w:t></w:t>
      </w:r>
      <w:r w:rsidRPr="008F4B57">
        <w:rPr>
          <w:i/>
        </w:rPr>
        <w:t xml:space="preserve"> de la solution titrée en fonction du volume v de titrant ajouté. Le résultat expérimental est présenté ci-après.</w:t>
      </w:r>
    </w:p>
    <w:p w14:paraId="3EBACFE2" w14:textId="77777777" w:rsidR="004C7F8E" w:rsidRDefault="004C7F8E" w:rsidP="004C7F8E">
      <w:pPr>
        <w:rPr>
          <w:i/>
        </w:rPr>
      </w:pPr>
      <w:r>
        <w:rPr>
          <w:i/>
        </w:rPr>
        <w:br w:type="page"/>
      </w:r>
    </w:p>
    <w:p w14:paraId="7D4862AA" w14:textId="4A46C9CB" w:rsidR="004C7F8E" w:rsidRDefault="004C7F8E" w:rsidP="001A6D0C">
      <w:pPr>
        <w:spacing w:after="120"/>
        <w:rPr>
          <w:rFonts w:ascii="Century" w:hAnsi="Century"/>
        </w:rPr>
      </w:pPr>
      <w:r w:rsidRPr="007A1BA0">
        <w:rPr>
          <w:noProof/>
        </w:rPr>
        <w:lastRenderedPageBreak/>
        <w:drawing>
          <wp:inline distT="0" distB="0" distL="0" distR="0" wp14:anchorId="5E327B61" wp14:editId="51B43298">
            <wp:extent cx="5759450" cy="4153785"/>
            <wp:effectExtent l="0" t="0" r="0" b="12065"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15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958A3" w14:textId="77777777" w:rsidR="004C7F8E" w:rsidRDefault="004C7F8E" w:rsidP="004C7F8E">
      <w:pPr>
        <w:pStyle w:val="Paragraphedeliste"/>
        <w:numPr>
          <w:ilvl w:val="0"/>
          <w:numId w:val="2"/>
        </w:numPr>
        <w:jc w:val="both"/>
      </w:pPr>
      <w:r>
        <w:t>Ecrire la réaction de titrage et indiquer la valeur de sa constante d’équilibre à 298 K.</w:t>
      </w:r>
    </w:p>
    <w:p w14:paraId="7D3A5980" w14:textId="77777777" w:rsidR="004C7F8E" w:rsidRDefault="004C7F8E" w:rsidP="004C7F8E">
      <w:pPr>
        <w:jc w:val="both"/>
      </w:pPr>
    </w:p>
    <w:p w14:paraId="4288801B" w14:textId="77777777" w:rsidR="004C7F8E" w:rsidRDefault="004C7F8E" w:rsidP="004C7F8E">
      <w:pPr>
        <w:pStyle w:val="Paragraphedeliste"/>
        <w:numPr>
          <w:ilvl w:val="0"/>
          <w:numId w:val="2"/>
        </w:numPr>
        <w:jc w:val="both"/>
      </w:pPr>
      <w:r>
        <w:t>Quel est le pH de la solution prélevée à la surface du béton ?</w:t>
      </w:r>
    </w:p>
    <w:p w14:paraId="09A76859" w14:textId="77777777" w:rsidR="004C7F8E" w:rsidRDefault="004C7F8E" w:rsidP="004C7F8E">
      <w:pPr>
        <w:jc w:val="both"/>
      </w:pPr>
    </w:p>
    <w:p w14:paraId="765ADE51" w14:textId="77777777" w:rsidR="004C7F8E" w:rsidRDefault="004C7F8E" w:rsidP="004C7F8E">
      <w:pPr>
        <w:pStyle w:val="Paragraphedeliste"/>
        <w:numPr>
          <w:ilvl w:val="0"/>
          <w:numId w:val="2"/>
        </w:numPr>
        <w:jc w:val="both"/>
      </w:pPr>
      <w:r>
        <w:t xml:space="preserve">Justifier qualitativement (sans calcul) mais de façon détaillée l’allure de la courbe conductimétrique </w:t>
      </w:r>
      <m:oMath>
        <m:r>
          <w:rPr>
            <w:rFonts w:ascii="Cambria Math" w:hAnsi="Cambria Math"/>
          </w:rPr>
          <m:t>σ=f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</m:t>
            </m:r>
          </m:e>
        </m:d>
        <m:r>
          <w:rPr>
            <w:rFonts w:ascii="Cambria Math" w:hAnsi="Cambria Math"/>
          </w:rPr>
          <m:t xml:space="preserve"> </m:t>
        </m:r>
      </m:oMath>
      <w:r>
        <w:t>o</w:t>
      </w:r>
      <w:proofErr w:type="spellStart"/>
      <w:r>
        <w:t>btenue</w:t>
      </w:r>
      <w:proofErr w:type="spellEnd"/>
      <w:r>
        <w:t>.</w:t>
      </w:r>
    </w:p>
    <w:p w14:paraId="170FCE47" w14:textId="77777777" w:rsidR="004C7F8E" w:rsidRDefault="004C7F8E" w:rsidP="004C7F8E">
      <w:pPr>
        <w:jc w:val="both"/>
      </w:pPr>
    </w:p>
    <w:p w14:paraId="54692F37" w14:textId="77777777" w:rsidR="004C7F8E" w:rsidRDefault="004C7F8E" w:rsidP="004C7F8E">
      <w:pPr>
        <w:pStyle w:val="Paragraphedeliste"/>
        <w:numPr>
          <w:ilvl w:val="0"/>
          <w:numId w:val="2"/>
        </w:numPr>
        <w:jc w:val="both"/>
      </w:pPr>
      <w:r w:rsidRPr="0061570B">
        <w:t>Dessiner l’allure de la courbe qui aurait été obtenue à l’occasion d’un suivi pH</w:t>
      </w:r>
      <w:r>
        <w:t>-</w:t>
      </w:r>
      <w:r w:rsidRPr="0061570B">
        <w:t>métrique, préciser la valeur du pH au point équivalent</w:t>
      </w:r>
      <w:r>
        <w:t>.</w:t>
      </w:r>
    </w:p>
    <w:p w14:paraId="62453E60" w14:textId="77777777" w:rsidR="004C7F8E" w:rsidRDefault="004C7F8E" w:rsidP="004C7F8E">
      <w:pPr>
        <w:jc w:val="both"/>
      </w:pPr>
    </w:p>
    <w:p w14:paraId="09382B39" w14:textId="1211C30F" w:rsidR="004C7F8E" w:rsidRDefault="004C7F8E" w:rsidP="004C7F8E">
      <w:pPr>
        <w:rPr>
          <w:b/>
        </w:rPr>
      </w:pPr>
      <w:r>
        <w:rPr>
          <w:b/>
        </w:rPr>
        <w:t>C</w:t>
      </w:r>
      <w:r w:rsidRPr="000625F5">
        <w:rPr>
          <w:b/>
        </w:rPr>
        <w:t xml:space="preserve">) </w:t>
      </w:r>
      <w:r>
        <w:rPr>
          <w:b/>
        </w:rPr>
        <w:t>carbonatation d'un béton.</w:t>
      </w:r>
    </w:p>
    <w:p w14:paraId="0AA0BF12" w14:textId="72CC4B3F" w:rsidR="004C7F8E" w:rsidRPr="004C7F8E" w:rsidRDefault="004C7F8E" w:rsidP="004C7F8E">
      <w:pPr>
        <w:jc w:val="both"/>
        <w:rPr>
          <w:b/>
          <w:i/>
        </w:rPr>
      </w:pPr>
      <w:r w:rsidRPr="008F4B57">
        <w:rPr>
          <w:i/>
        </w:rPr>
        <w:t>Le dioxyde de carbone présent dans l’atmosphère peut se dissoudre en solution aqueuse. Dans le cas des solutions basiques il se dissout sous forme d’ions carbonate CO</w:t>
      </w:r>
      <w:r w:rsidRPr="008F4B57">
        <w:rPr>
          <w:i/>
          <w:vertAlign w:val="subscript"/>
        </w:rPr>
        <w:t>3</w:t>
      </w:r>
      <w:r w:rsidRPr="008F4B57">
        <w:rPr>
          <w:i/>
          <w:vertAlign w:val="superscript"/>
        </w:rPr>
        <w:t>2-</w:t>
      </w:r>
      <w:r w:rsidRPr="008F4B57">
        <w:rPr>
          <w:i/>
        </w:rPr>
        <w:t>. Lorsque le phénomène se produit sur un béton, les ions carbonate issus du dioxyde de carbone peuvent remplacer les ions HO</w:t>
      </w:r>
      <w:r w:rsidRPr="003F54F9">
        <w:rPr>
          <w:i/>
          <w:sz w:val="32"/>
          <w:szCs w:val="32"/>
          <w:vertAlign w:val="superscript"/>
        </w:rPr>
        <w:t>-</w:t>
      </w:r>
      <w:r>
        <w:rPr>
          <w:i/>
        </w:rPr>
        <w:t xml:space="preserve"> de l'hydroxyde de calcium </w:t>
      </w:r>
      <w:r w:rsidRPr="008F4B57">
        <w:rPr>
          <w:i/>
        </w:rPr>
        <w:t>(formation de CaCO</w:t>
      </w:r>
      <w:r w:rsidRPr="008F4B57">
        <w:rPr>
          <w:i/>
          <w:vertAlign w:val="subscript"/>
        </w:rPr>
        <w:t>3</w:t>
      </w:r>
      <w:r w:rsidRPr="008F4B57">
        <w:rPr>
          <w:i/>
        </w:rPr>
        <w:t>(s)). On parle alors de carbonatation d’un béton</w:t>
      </w:r>
      <w:r>
        <w:rPr>
          <w:i/>
        </w:rPr>
        <w:t>, conduisant à une fragilisation de s</w:t>
      </w:r>
      <w:r w:rsidRPr="008F4B57">
        <w:rPr>
          <w:i/>
        </w:rPr>
        <w:t>a structure. On étudie dans cette partie le carbonate de calcium (de type calcite).</w:t>
      </w:r>
    </w:p>
    <w:p w14:paraId="53CECB90" w14:textId="77777777" w:rsidR="004C7F8E" w:rsidRDefault="004C7F8E" w:rsidP="004C7F8E">
      <w:pPr>
        <w:numPr>
          <w:ilvl w:val="0"/>
          <w:numId w:val="2"/>
        </w:numPr>
        <w:spacing w:after="0" w:line="240" w:lineRule="auto"/>
        <w:jc w:val="both"/>
      </w:pPr>
      <w:r>
        <w:rPr>
          <w:noProof/>
        </w:rPr>
        <w:lastRenderedPageBreak/>
        <w:t>Etablir, en justifiant rapidement,  le diagramme de prédominance des espèces en solution du carbone : H</w:t>
      </w:r>
      <w:r w:rsidRPr="000B6108">
        <w:rPr>
          <w:noProof/>
          <w:vertAlign w:val="subscript"/>
        </w:rPr>
        <w:t>2</w:t>
      </w:r>
      <w:r>
        <w:rPr>
          <w:noProof/>
        </w:rPr>
        <w:t>CO</w:t>
      </w:r>
      <w:r>
        <w:rPr>
          <w:noProof/>
          <w:vertAlign w:val="subscript"/>
        </w:rPr>
        <w:t>3 (aq)</w:t>
      </w:r>
      <w:r>
        <w:rPr>
          <w:noProof/>
        </w:rPr>
        <w:t>;  HCO</w:t>
      </w:r>
      <w:r w:rsidRPr="000B6108">
        <w:rPr>
          <w:noProof/>
          <w:vertAlign w:val="subscript"/>
        </w:rPr>
        <w:t>3</w:t>
      </w:r>
      <w:r w:rsidRPr="003F54F9">
        <w:rPr>
          <w:noProof/>
          <w:sz w:val="32"/>
          <w:szCs w:val="32"/>
          <w:vertAlign w:val="superscript"/>
        </w:rPr>
        <w:t>-</w:t>
      </w:r>
      <w:r>
        <w:rPr>
          <w:noProof/>
          <w:vertAlign w:val="subscript"/>
        </w:rPr>
        <w:t> (aq)</w:t>
      </w:r>
      <w:r>
        <w:rPr>
          <w:noProof/>
        </w:rPr>
        <w:t>; CO</w:t>
      </w:r>
      <w:r w:rsidRPr="000B6108">
        <w:rPr>
          <w:noProof/>
          <w:vertAlign w:val="subscript"/>
        </w:rPr>
        <w:t>3</w:t>
      </w:r>
      <w:r w:rsidRPr="000B6108">
        <w:rPr>
          <w:noProof/>
          <w:vertAlign w:val="superscript"/>
        </w:rPr>
        <w:t>2-</w:t>
      </w:r>
      <w:r>
        <w:rPr>
          <w:noProof/>
          <w:vertAlign w:val="subscript"/>
        </w:rPr>
        <w:t>(aq)</w:t>
      </w:r>
      <w:r>
        <w:rPr>
          <w:noProof/>
        </w:rPr>
        <w:t>. Justifier que dans le cas du béton, le dioxyde du carbone dissous en surface se trouve bien sous la forme de carbonate.</w:t>
      </w:r>
    </w:p>
    <w:p w14:paraId="3F642BBA" w14:textId="77777777" w:rsidR="004C7F8E" w:rsidRDefault="004C7F8E" w:rsidP="004C7F8E">
      <w:pPr>
        <w:jc w:val="both"/>
      </w:pPr>
    </w:p>
    <w:p w14:paraId="00EE654D" w14:textId="77777777" w:rsidR="004C7F8E" w:rsidRDefault="004C7F8E" w:rsidP="004C7F8E">
      <w:pPr>
        <w:numPr>
          <w:ilvl w:val="0"/>
          <w:numId w:val="2"/>
        </w:numPr>
        <w:spacing w:after="0" w:line="240" w:lineRule="auto"/>
        <w:jc w:val="both"/>
      </w:pPr>
      <w:r>
        <w:t>A l'aide des données, montrer alors que la carbonatation du béton est thermodynamiquement favorisée.</w:t>
      </w:r>
    </w:p>
    <w:p w14:paraId="54B0EF92" w14:textId="77777777" w:rsidR="004C7F8E" w:rsidRDefault="004C7F8E" w:rsidP="004C7F8E">
      <w:pPr>
        <w:jc w:val="both"/>
      </w:pPr>
    </w:p>
    <w:p w14:paraId="22E3A183" w14:textId="77777777" w:rsidR="004C7F8E" w:rsidRDefault="004C7F8E" w:rsidP="004C7F8E">
      <w:pPr>
        <w:numPr>
          <w:ilvl w:val="0"/>
          <w:numId w:val="2"/>
        </w:numPr>
        <w:spacing w:after="0" w:line="240" w:lineRule="auto"/>
        <w:jc w:val="both"/>
      </w:pPr>
      <w:r>
        <w:t>En faisant une hypothèse simple qu'on justifiera, exprimer l'évolution du produit de solubilité de la calcite avec la température. La calcite est-elle plus soluble à chaud ou à froid ?</w:t>
      </w:r>
    </w:p>
    <w:p w14:paraId="11B7EBFE" w14:textId="77777777" w:rsidR="004C7F8E" w:rsidRDefault="004C7F8E" w:rsidP="004C7F8E">
      <w:pPr>
        <w:jc w:val="both"/>
      </w:pPr>
    </w:p>
    <w:p w14:paraId="57E53B1A" w14:textId="77777777" w:rsidR="004C7F8E" w:rsidRDefault="004C7F8E" w:rsidP="004C7F8E">
      <w:pPr>
        <w:numPr>
          <w:ilvl w:val="0"/>
          <w:numId w:val="2"/>
        </w:numPr>
        <w:spacing w:after="0" w:line="240" w:lineRule="auto"/>
        <w:jc w:val="both"/>
      </w:pPr>
      <w:r>
        <w:t>Donner un exemple d'utilisation en chimie de la faible solubilité du carbonate de calcium par rapport à son hydroxyde.</w:t>
      </w:r>
    </w:p>
    <w:p w14:paraId="10192765" w14:textId="77777777" w:rsidR="004C7F8E" w:rsidRDefault="004C7F8E" w:rsidP="004C7F8E">
      <w:pPr>
        <w:jc w:val="both"/>
      </w:pPr>
    </w:p>
    <w:p w14:paraId="30090417" w14:textId="77777777" w:rsidR="004C7F8E" w:rsidRDefault="004C7F8E" w:rsidP="004C7F8E">
      <w:pPr>
        <w:numPr>
          <w:ilvl w:val="0"/>
          <w:numId w:val="2"/>
        </w:numPr>
        <w:spacing w:after="0" w:line="240" w:lineRule="auto"/>
        <w:jc w:val="both"/>
      </w:pPr>
      <w:r>
        <w:t xml:space="preserve">Donner un schéma de Lewis de l’ion carbonate. Cet ion possède-t-il un moment dipolaire </w:t>
      </w:r>
      <w:proofErr w:type="gramStart"/>
      <w:r>
        <w:t>permanent</w:t>
      </w:r>
      <w:proofErr w:type="gramEnd"/>
      <w:r>
        <w:t> ? Justifier.</w:t>
      </w:r>
    </w:p>
    <w:p w14:paraId="64EEBB3F" w14:textId="77777777" w:rsidR="004C7F8E" w:rsidRDefault="004C7F8E" w:rsidP="004C7F8E">
      <w:pPr>
        <w:jc w:val="both"/>
      </w:pPr>
    </w:p>
    <w:p w14:paraId="3592585F" w14:textId="77777777" w:rsidR="004C7F8E" w:rsidRDefault="004C7F8E" w:rsidP="004C7F8E">
      <w:pPr>
        <w:pStyle w:val="Paragraphedeliste"/>
        <w:numPr>
          <w:ilvl w:val="0"/>
          <w:numId w:val="2"/>
        </w:numPr>
        <w:jc w:val="both"/>
      </w:pPr>
      <w:r>
        <w:t>La masse volumique de la calcite est de 2,7.10</w:t>
      </w:r>
      <w:r>
        <w:rPr>
          <w:vertAlign w:val="superscript"/>
        </w:rPr>
        <w:t>3</w:t>
      </w:r>
      <w:r>
        <w:t xml:space="preserve"> kg.m</w:t>
      </w:r>
      <w:r>
        <w:rPr>
          <w:vertAlign w:val="superscript"/>
        </w:rPr>
        <w:t>-3</w:t>
      </w:r>
      <w:r>
        <w:t>. Calculer son volume formulaire (volume occupé par une unité de formule).</w:t>
      </w:r>
    </w:p>
    <w:p w14:paraId="4A551159" w14:textId="77777777" w:rsidR="004C7F8E" w:rsidRDefault="004C7F8E" w:rsidP="004C7F8E">
      <w:pPr>
        <w:jc w:val="both"/>
      </w:pPr>
    </w:p>
    <w:p w14:paraId="6A34B51E" w14:textId="77777777" w:rsidR="004C7F8E" w:rsidRDefault="004C7F8E" w:rsidP="004C7F8E">
      <w:pPr>
        <w:jc w:val="both"/>
        <w:rPr>
          <w:i/>
        </w:rPr>
      </w:pPr>
      <w:r>
        <w:rPr>
          <w:i/>
        </w:rPr>
        <w:t>La structure cristallographique de l'hydroxyde de calcium (</w:t>
      </w:r>
      <w:proofErr w:type="spellStart"/>
      <w:r>
        <w:rPr>
          <w:i/>
        </w:rPr>
        <w:t>portlandite</w:t>
      </w:r>
      <w:proofErr w:type="spellEnd"/>
      <w:r>
        <w:rPr>
          <w:i/>
        </w:rPr>
        <w:t xml:space="preserve">) peut être décrite comme un empilement de feuillets. Dans la figure suivante ne sont représentés que les atomes de </w:t>
      </w:r>
      <w:proofErr w:type="gramStart"/>
      <w:r>
        <w:rPr>
          <w:i/>
        </w:rPr>
        <w:t>calcium:</w:t>
      </w:r>
      <w:proofErr w:type="gramEnd"/>
      <w:r>
        <w:rPr>
          <w:i/>
        </w:rPr>
        <w:t xml:space="preserve"> ils dessinent un maillage hexagonal dans chaque feuillet. La distance entre deux</w:t>
      </w:r>
      <w:r>
        <w:rPr>
          <w:i/>
        </w:rPr>
        <w:t xml:space="preserve"> </w:t>
      </w:r>
      <w:r>
        <w:rPr>
          <w:i/>
        </w:rPr>
        <w:t>atomes de calcium voisins dans un feuillet est de 0,36 nm et la distance entre deux feuillets voisins de 0,49nm.</w:t>
      </w:r>
    </w:p>
    <w:p w14:paraId="03153E9B" w14:textId="77777777" w:rsidR="004C7F8E" w:rsidRDefault="004C7F8E" w:rsidP="004C7F8E">
      <w:pPr>
        <w:jc w:val="both"/>
        <w:rPr>
          <w:i/>
        </w:rPr>
      </w:pPr>
      <w:r w:rsidRPr="00140A17">
        <w:rPr>
          <w:noProof/>
        </w:rPr>
        <w:drawing>
          <wp:anchor distT="0" distB="0" distL="114300" distR="114300" simplePos="0" relativeHeight="251659264" behindDoc="0" locked="0" layoutInCell="1" allowOverlap="1" wp14:anchorId="29BCCD7B" wp14:editId="4B239F0E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2400300" cy="2334895"/>
            <wp:effectExtent l="0" t="0" r="12700" b="1905"/>
            <wp:wrapThrough wrapText="bothSides">
              <wp:wrapPolygon edited="0">
                <wp:start x="0" y="0"/>
                <wp:lineTo x="0" y="21383"/>
                <wp:lineTo x="21486" y="21383"/>
                <wp:lineTo x="21486" y="0"/>
                <wp:lineTo x="0" y="0"/>
              </wp:wrapPolygon>
            </wp:wrapThrough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042F5" w14:textId="62756DD8" w:rsidR="004C7F8E" w:rsidRDefault="004C7F8E" w:rsidP="001A6D0C">
      <w:pPr>
        <w:spacing w:after="120"/>
        <w:rPr>
          <w:rFonts w:ascii="Century" w:hAnsi="Century"/>
        </w:rPr>
      </w:pPr>
    </w:p>
    <w:p w14:paraId="4E03E430" w14:textId="20C44EBF" w:rsidR="004C7F8E" w:rsidRDefault="004C7F8E" w:rsidP="001A6D0C">
      <w:pPr>
        <w:spacing w:after="120"/>
        <w:rPr>
          <w:rFonts w:ascii="Century" w:hAnsi="Century"/>
        </w:rPr>
      </w:pPr>
    </w:p>
    <w:p w14:paraId="750B5858" w14:textId="77777777" w:rsidR="004C7F8E" w:rsidRDefault="004C7F8E" w:rsidP="004C7F8E">
      <w:pPr>
        <w:pStyle w:val="Paragraphedeliste"/>
        <w:numPr>
          <w:ilvl w:val="0"/>
          <w:numId w:val="2"/>
        </w:numPr>
        <w:jc w:val="both"/>
      </w:pPr>
      <w:r>
        <w:t xml:space="preserve">Calculer le volume formulaire de la </w:t>
      </w:r>
      <w:proofErr w:type="spellStart"/>
      <w:r>
        <w:t>portlandite</w:t>
      </w:r>
      <w:proofErr w:type="spellEnd"/>
      <w:r>
        <w:t>. Comment se traduit sa transformation en calcite en termes de changement de volume ?</w:t>
      </w:r>
    </w:p>
    <w:p w14:paraId="4F490DB9" w14:textId="370D4270" w:rsidR="004C7F8E" w:rsidRDefault="004C7F8E" w:rsidP="004C7F8E">
      <w:pPr>
        <w:jc w:val="both"/>
      </w:pPr>
    </w:p>
    <w:p w14:paraId="12BA9FD4" w14:textId="1C923307" w:rsidR="004C7F8E" w:rsidRDefault="004C7F8E" w:rsidP="004C7F8E">
      <w:pPr>
        <w:jc w:val="both"/>
      </w:pPr>
    </w:p>
    <w:p w14:paraId="2FBC510F" w14:textId="667E8B28" w:rsidR="004C7F8E" w:rsidRDefault="004C7F8E" w:rsidP="004C7F8E">
      <w:pPr>
        <w:jc w:val="both"/>
      </w:pPr>
    </w:p>
    <w:p w14:paraId="1FAD6E27" w14:textId="77777777" w:rsidR="004C7F8E" w:rsidRDefault="004C7F8E" w:rsidP="004C7F8E">
      <w:pPr>
        <w:jc w:val="both"/>
      </w:pPr>
    </w:p>
    <w:p w14:paraId="40A03F75" w14:textId="77777777" w:rsidR="004C7F8E" w:rsidRDefault="004C7F8E" w:rsidP="004C7F8E">
      <w:pPr>
        <w:rPr>
          <w:b/>
        </w:rPr>
      </w:pPr>
      <w:r>
        <w:rPr>
          <w:b/>
        </w:rPr>
        <w:t>D</w:t>
      </w:r>
      <w:r w:rsidRPr="000625F5">
        <w:rPr>
          <w:b/>
        </w:rPr>
        <w:t xml:space="preserve">) </w:t>
      </w:r>
      <w:r>
        <w:rPr>
          <w:b/>
        </w:rPr>
        <w:t>corrosion d'un béton armé.</w:t>
      </w:r>
    </w:p>
    <w:p w14:paraId="0693A0AB" w14:textId="42BE6619" w:rsidR="004C7F8E" w:rsidRPr="00CD06C7" w:rsidRDefault="004C7F8E" w:rsidP="004C7F8E">
      <w:pPr>
        <w:jc w:val="both"/>
        <w:rPr>
          <w:i/>
        </w:rPr>
      </w:pPr>
      <w:r w:rsidRPr="00CD06C7">
        <w:rPr>
          <w:i/>
        </w:rPr>
        <w:t>Un béton armé contient des armatures internes en acier (alliage fer-carbone qui sera modélisé par le seul fer). Une éventuelle corrosion peut avoir lieu par réaction entre l’armature en fer et l’eau (ou avec le dioxygène dissous).</w:t>
      </w:r>
    </w:p>
    <w:p w14:paraId="688775C5" w14:textId="77777777" w:rsidR="004C7F8E" w:rsidRPr="00CD06C7" w:rsidRDefault="004C7F8E" w:rsidP="004C7F8E">
      <w:pPr>
        <w:jc w:val="both"/>
        <w:rPr>
          <w:i/>
        </w:rPr>
      </w:pPr>
      <w:r w:rsidRPr="00CD06C7">
        <w:rPr>
          <w:i/>
        </w:rPr>
        <w:lastRenderedPageBreak/>
        <w:t xml:space="preserve">Le diagramme potentiel-pH du fer est </w:t>
      </w:r>
      <w:r>
        <w:rPr>
          <w:i/>
        </w:rPr>
        <w:t>donn</w:t>
      </w:r>
      <w:r w:rsidRPr="00CD06C7">
        <w:rPr>
          <w:i/>
        </w:rPr>
        <w:t>é (en trai</w:t>
      </w:r>
      <w:r>
        <w:rPr>
          <w:i/>
        </w:rPr>
        <w:t>t</w:t>
      </w:r>
      <w:r w:rsidRPr="00CD06C7">
        <w:rPr>
          <w:i/>
        </w:rPr>
        <w:t>s gras), pour une concentration de tracé égale à 10</w:t>
      </w:r>
      <w:r w:rsidRPr="00CD06C7">
        <w:rPr>
          <w:i/>
          <w:vertAlign w:val="superscript"/>
        </w:rPr>
        <w:t>-2</w:t>
      </w:r>
      <w:r w:rsidRPr="00CD06C7">
        <w:rPr>
          <w:i/>
        </w:rPr>
        <w:t xml:space="preserve"> </w:t>
      </w:r>
      <w:proofErr w:type="gramStart"/>
      <w:r w:rsidRPr="00CD06C7">
        <w:rPr>
          <w:i/>
        </w:rPr>
        <w:t>mol.L</w:t>
      </w:r>
      <w:proofErr w:type="gramEnd"/>
      <w:r w:rsidRPr="00CD06C7">
        <w:rPr>
          <w:i/>
          <w:vertAlign w:val="superscript"/>
        </w:rPr>
        <w:t>-1</w:t>
      </w:r>
      <w:r w:rsidRPr="00CD06C7">
        <w:rPr>
          <w:i/>
        </w:rPr>
        <w:t>. Il fait intervenir les espèces Fe(s), Fe</w:t>
      </w:r>
      <w:r w:rsidRPr="00CD06C7">
        <w:rPr>
          <w:i/>
          <w:vertAlign w:val="superscript"/>
        </w:rPr>
        <w:t>2+</w:t>
      </w:r>
      <w:r w:rsidRPr="00CD06C7">
        <w:rPr>
          <w:i/>
        </w:rPr>
        <w:t>, Fe</w:t>
      </w:r>
      <w:r w:rsidRPr="00CD06C7">
        <w:rPr>
          <w:i/>
          <w:vertAlign w:val="superscript"/>
        </w:rPr>
        <w:t>3+</w:t>
      </w:r>
      <w:r w:rsidRPr="00CD06C7">
        <w:rPr>
          <w:i/>
        </w:rPr>
        <w:t xml:space="preserve">, </w:t>
      </w:r>
      <w:proofErr w:type="spellStart"/>
      <w:r w:rsidRPr="00CD06C7">
        <w:rPr>
          <w:i/>
        </w:rPr>
        <w:t>FeOOH</w:t>
      </w:r>
      <w:proofErr w:type="spellEnd"/>
      <w:r w:rsidRPr="00CD06C7">
        <w:rPr>
          <w:i/>
        </w:rPr>
        <w:t>(s) et Fe</w:t>
      </w:r>
      <w:r w:rsidRPr="00CD06C7">
        <w:rPr>
          <w:i/>
          <w:vertAlign w:val="subscript"/>
        </w:rPr>
        <w:t>3</w:t>
      </w:r>
      <w:r w:rsidRPr="00CD06C7">
        <w:rPr>
          <w:i/>
        </w:rPr>
        <w:t>O</w:t>
      </w:r>
      <w:r w:rsidRPr="00CD06C7">
        <w:rPr>
          <w:i/>
          <w:vertAlign w:val="subscript"/>
        </w:rPr>
        <w:t>4</w:t>
      </w:r>
      <w:r w:rsidRPr="00CD06C7">
        <w:rPr>
          <w:i/>
        </w:rPr>
        <w:t>(s).</w:t>
      </w:r>
    </w:p>
    <w:p w14:paraId="2FBDE281" w14:textId="77777777" w:rsidR="004C7F8E" w:rsidRDefault="004C7F8E" w:rsidP="004C7F8E">
      <w:pPr>
        <w:jc w:val="both"/>
        <w:rPr>
          <w:i/>
        </w:rPr>
      </w:pPr>
      <w:r w:rsidRPr="00CD06C7">
        <w:rPr>
          <w:i/>
        </w:rPr>
        <w:t>Les traits pointillés correspondent au diagramme potentiel-pH de l’eau.</w:t>
      </w:r>
    </w:p>
    <w:p w14:paraId="260DA8A4" w14:textId="4B9877EA" w:rsidR="004C7F8E" w:rsidRDefault="004C7F8E" w:rsidP="001A6D0C">
      <w:pPr>
        <w:spacing w:after="120"/>
        <w:rPr>
          <w:rFonts w:ascii="Century" w:hAnsi="Century"/>
        </w:rPr>
      </w:pPr>
      <w:r w:rsidRPr="00113C13">
        <w:rPr>
          <w:i/>
          <w:noProof/>
        </w:rPr>
        <w:drawing>
          <wp:inline distT="0" distB="0" distL="0" distR="0" wp14:anchorId="0440A07B" wp14:editId="3E594FF2">
            <wp:extent cx="5759450" cy="3983408"/>
            <wp:effectExtent l="0" t="0" r="6350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8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AB7FC" w14:textId="77777777" w:rsidR="004C7F8E" w:rsidRPr="00B73941" w:rsidRDefault="004C7F8E" w:rsidP="004C7F8E">
      <w:pPr>
        <w:pStyle w:val="Paragraphedeliste"/>
        <w:numPr>
          <w:ilvl w:val="0"/>
          <w:numId w:val="2"/>
        </w:numPr>
        <w:jc w:val="both"/>
        <w:rPr>
          <w:i/>
        </w:rPr>
      </w:pPr>
      <w:r>
        <w:t>Quels sont les degrés d'oxydation du fer dans les solides considérés ?</w:t>
      </w:r>
    </w:p>
    <w:p w14:paraId="60B11C21" w14:textId="77777777" w:rsidR="004C7F8E" w:rsidRPr="00B73941" w:rsidRDefault="004C7F8E" w:rsidP="004C7F8E">
      <w:pPr>
        <w:jc w:val="both"/>
        <w:rPr>
          <w:i/>
        </w:rPr>
      </w:pPr>
    </w:p>
    <w:p w14:paraId="0591192D" w14:textId="77777777" w:rsidR="004C7F8E" w:rsidRPr="00113C13" w:rsidRDefault="004C7F8E" w:rsidP="004C7F8E">
      <w:pPr>
        <w:pStyle w:val="Paragraphedeliste"/>
        <w:numPr>
          <w:ilvl w:val="0"/>
          <w:numId w:val="2"/>
        </w:numPr>
        <w:jc w:val="both"/>
        <w:rPr>
          <w:i/>
        </w:rPr>
      </w:pPr>
      <w:r>
        <w:t>Attribuer à chaque domaine du diagramme une espèce du fer. Expliquer le raisonnement.</w:t>
      </w:r>
      <w:r w:rsidRPr="001255AD">
        <w:t xml:space="preserve"> </w:t>
      </w:r>
    </w:p>
    <w:p w14:paraId="2A7F7824" w14:textId="77777777" w:rsidR="004C7F8E" w:rsidRPr="00113C13" w:rsidRDefault="004C7F8E" w:rsidP="004C7F8E">
      <w:pPr>
        <w:jc w:val="both"/>
        <w:rPr>
          <w:i/>
        </w:rPr>
      </w:pPr>
    </w:p>
    <w:p w14:paraId="7730B7AB" w14:textId="77777777" w:rsidR="004C7F8E" w:rsidRPr="00B523B1" w:rsidRDefault="004C7F8E" w:rsidP="004C7F8E">
      <w:pPr>
        <w:pStyle w:val="Paragraphedeliste"/>
        <w:numPr>
          <w:ilvl w:val="0"/>
          <w:numId w:val="2"/>
        </w:numPr>
        <w:jc w:val="both"/>
        <w:rPr>
          <w:i/>
        </w:rPr>
      </w:pPr>
      <w:r>
        <w:t>Ecrire l’équation-bilan de la réaction concernant le fer métallique en présence d’eau et en absence de dioxygène dissous, dans un milieu fortement basique.</w:t>
      </w:r>
    </w:p>
    <w:p w14:paraId="23031CF9" w14:textId="77777777" w:rsidR="004C7F8E" w:rsidRPr="00B523B1" w:rsidRDefault="004C7F8E" w:rsidP="004C7F8E">
      <w:pPr>
        <w:jc w:val="both"/>
        <w:rPr>
          <w:i/>
        </w:rPr>
      </w:pPr>
    </w:p>
    <w:p w14:paraId="497B4E0E" w14:textId="77777777" w:rsidR="004C7F8E" w:rsidRPr="00B523B1" w:rsidRDefault="004C7F8E" w:rsidP="004C7F8E">
      <w:pPr>
        <w:pStyle w:val="Paragraphedeliste"/>
        <w:numPr>
          <w:ilvl w:val="0"/>
          <w:numId w:val="2"/>
        </w:numPr>
        <w:jc w:val="both"/>
        <w:rPr>
          <w:i/>
        </w:rPr>
      </w:pPr>
      <w:r>
        <w:t>On observe que dans un béton armé sain (non carbonaté) on risque peu la corrosion des armatures métalliques internes. Expliquer et nommer le phénomène ainsi observé.</w:t>
      </w:r>
    </w:p>
    <w:p w14:paraId="1A6E4182" w14:textId="77777777" w:rsidR="004C7F8E" w:rsidRDefault="004C7F8E" w:rsidP="004C7F8E">
      <w:pPr>
        <w:jc w:val="both"/>
      </w:pPr>
    </w:p>
    <w:p w14:paraId="12D3EA93" w14:textId="77777777" w:rsidR="004C7F8E" w:rsidRPr="00B523B1" w:rsidRDefault="004C7F8E" w:rsidP="004C7F8E">
      <w:pPr>
        <w:jc w:val="both"/>
        <w:rPr>
          <w:i/>
        </w:rPr>
      </w:pPr>
      <w:r w:rsidRPr="00B523B1">
        <w:rPr>
          <w:i/>
        </w:rPr>
        <w:t>La carbonatation du béton est un phénomène susceptible d’initier la corrosion, car il est associé à une diminution du pH des solutions interstitielles. On étudie le phénomène sur un béton armé carbonaté. L’étude est menée à partir de courbes densité de courant-potentiel. La figure suivante représente les courbes r</w:t>
      </w:r>
      <w:r>
        <w:rPr>
          <w:i/>
        </w:rPr>
        <w:t>elatives à l’oxydation du fer en</w:t>
      </w:r>
      <w:r w:rsidRPr="00B523B1">
        <w:rPr>
          <w:i/>
        </w:rPr>
        <w:t xml:space="preserve"> ions Fe</w:t>
      </w:r>
      <w:r w:rsidRPr="00B523B1">
        <w:rPr>
          <w:i/>
          <w:vertAlign w:val="superscript"/>
        </w:rPr>
        <w:t>2+</w:t>
      </w:r>
      <w:r w:rsidRPr="00B523B1">
        <w:rPr>
          <w:i/>
        </w:rPr>
        <w:t xml:space="preserve"> et à la réduction de l’eau en dihydrogène.</w:t>
      </w:r>
    </w:p>
    <w:p w14:paraId="66DAD4C7" w14:textId="77777777" w:rsidR="004C7F8E" w:rsidRDefault="004C7F8E" w:rsidP="004C7F8E">
      <w:pPr>
        <w:jc w:val="both"/>
      </w:pPr>
    </w:p>
    <w:p w14:paraId="333D2ED7" w14:textId="241327E0" w:rsidR="004C7F8E" w:rsidRDefault="004C7F8E" w:rsidP="001A6D0C">
      <w:pPr>
        <w:spacing w:after="120"/>
        <w:rPr>
          <w:rFonts w:ascii="Century" w:hAnsi="Century"/>
        </w:rPr>
      </w:pPr>
      <w:r w:rsidRPr="00140A17">
        <w:rPr>
          <w:noProof/>
        </w:rPr>
        <w:lastRenderedPageBreak/>
        <w:drawing>
          <wp:inline distT="0" distB="0" distL="0" distR="0" wp14:anchorId="0A2615C3" wp14:editId="721D9D0C">
            <wp:extent cx="4284345" cy="2895600"/>
            <wp:effectExtent l="0" t="0" r="0" b="0"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34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21B9E" w14:textId="77777777" w:rsidR="004C7F8E" w:rsidRPr="00407F4D" w:rsidRDefault="004C7F8E" w:rsidP="004C7F8E">
      <w:pPr>
        <w:pStyle w:val="Paragraphedeliste"/>
        <w:numPr>
          <w:ilvl w:val="0"/>
          <w:numId w:val="2"/>
        </w:numPr>
        <w:jc w:val="both"/>
        <w:rPr>
          <w:i/>
        </w:rPr>
      </w:pPr>
      <w:r>
        <w:rPr>
          <w:rFonts w:eastAsiaTheme="minorEastAsia"/>
        </w:rPr>
        <w:t xml:space="preserve">Reproduire la figure et associer à chaque courbe le phénomène correspondant. Justifier notamment par l’écriture de demi-équations d’oxydoréduction. Faire figurer la position du potentiel de corrosion </w:t>
      </w:r>
      <w:proofErr w:type="spellStart"/>
      <w:r>
        <w:rPr>
          <w:rFonts w:eastAsiaTheme="minorEastAsia"/>
          <w:i/>
        </w:rPr>
        <w:t>E</w:t>
      </w:r>
      <w:r>
        <w:rPr>
          <w:rFonts w:eastAsiaTheme="minorEastAsia"/>
          <w:i/>
          <w:vertAlign w:val="subscript"/>
        </w:rPr>
        <w:t>cor</w:t>
      </w:r>
      <w:proofErr w:type="spellEnd"/>
      <w:r>
        <w:rPr>
          <w:rFonts w:eastAsiaTheme="minorEastAsia"/>
        </w:rPr>
        <w:t xml:space="preserve"> et de la densité de courant de corrosion </w:t>
      </w:r>
      <w:proofErr w:type="spellStart"/>
      <w:r>
        <w:rPr>
          <w:rFonts w:eastAsiaTheme="minorEastAsia"/>
          <w:i/>
        </w:rPr>
        <w:t>j</w:t>
      </w:r>
      <w:r>
        <w:rPr>
          <w:rFonts w:eastAsiaTheme="minorEastAsia"/>
          <w:i/>
          <w:vertAlign w:val="subscript"/>
        </w:rPr>
        <w:t>cor</w:t>
      </w:r>
      <w:proofErr w:type="spellEnd"/>
      <w:r>
        <w:rPr>
          <w:rFonts w:eastAsiaTheme="minorEastAsia"/>
          <w:i/>
        </w:rPr>
        <w:t>.</w:t>
      </w:r>
    </w:p>
    <w:p w14:paraId="4D9A6CDE" w14:textId="77777777" w:rsidR="004C7F8E" w:rsidRDefault="004C7F8E" w:rsidP="004C7F8E">
      <w:pPr>
        <w:jc w:val="both"/>
      </w:pPr>
    </w:p>
    <w:p w14:paraId="384F4CDA" w14:textId="77777777" w:rsidR="004C7F8E" w:rsidRPr="00CE60A8" w:rsidRDefault="004C7F8E" w:rsidP="004C7F8E">
      <w:pPr>
        <w:jc w:val="both"/>
        <w:rPr>
          <w:i/>
        </w:rPr>
      </w:pPr>
      <w:r w:rsidRPr="00CE60A8">
        <w:rPr>
          <w:i/>
        </w:rPr>
        <w:t xml:space="preserve">Les valeurs de potentiel mis en jeu dans les phénomènes de corrosion correspondent souvent au domaine de validité de l’approximation de </w:t>
      </w:r>
      <w:proofErr w:type="spellStart"/>
      <w:r w:rsidRPr="00CE60A8">
        <w:rPr>
          <w:i/>
        </w:rPr>
        <w:t>Tafel</w:t>
      </w:r>
      <w:proofErr w:type="spellEnd"/>
      <w:r w:rsidRPr="00CE60A8">
        <w:rPr>
          <w:i/>
        </w:rPr>
        <w:t xml:space="preserve"> : les courbes densité de courant-potentiel sont alors généralement des exponentielles et on a la relation </w:t>
      </w:r>
      <m:oMath>
        <m:r>
          <w:rPr>
            <w:rFonts w:ascii="Cambria Math" w:hAnsi="Cambria Math"/>
          </w:rPr>
          <m:t>E= a + b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log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j</m:t>
                </m:r>
              </m:e>
            </m:d>
          </m:e>
        </m:func>
      </m:oMath>
      <w:r w:rsidRPr="00CE60A8">
        <w:rPr>
          <w:i/>
        </w:rPr>
        <w:t>.</w:t>
      </w:r>
    </w:p>
    <w:p w14:paraId="5544169E" w14:textId="77777777" w:rsidR="004C7F8E" w:rsidRPr="004E04F5" w:rsidRDefault="004C7F8E" w:rsidP="004C7F8E">
      <w:pPr>
        <w:jc w:val="both"/>
        <w:rPr>
          <w:i/>
        </w:rPr>
      </w:pPr>
      <w:r w:rsidRPr="004E04F5">
        <w:rPr>
          <w:i/>
        </w:rPr>
        <w:t>On fournit les résultats expérimentaux suivants, indiquant la valeur de la densité de courant j mesurée dans une armature immergée dans un béton (en A.m</w:t>
      </w:r>
      <w:r w:rsidRPr="004E04F5">
        <w:rPr>
          <w:i/>
          <w:vertAlign w:val="superscript"/>
        </w:rPr>
        <w:t>-2</w:t>
      </w:r>
      <w:r w:rsidRPr="004E04F5">
        <w:rPr>
          <w:i/>
        </w:rPr>
        <w:t>), en fonction du potentiel E (en V) auquel est soumis l’armature.</w:t>
      </w:r>
    </w:p>
    <w:p w14:paraId="302499EB" w14:textId="77777777" w:rsidR="004C7F8E" w:rsidRDefault="004C7F8E" w:rsidP="004C7F8E">
      <w:pPr>
        <w:jc w:val="both"/>
        <w:rPr>
          <w:i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243"/>
        <w:gridCol w:w="1221"/>
        <w:gridCol w:w="1220"/>
        <w:gridCol w:w="1221"/>
        <w:gridCol w:w="1221"/>
        <w:gridCol w:w="1221"/>
        <w:gridCol w:w="1221"/>
      </w:tblGrid>
      <w:tr w:rsidR="004C7F8E" w14:paraId="7ECAC7FC" w14:textId="77777777" w:rsidTr="00580F2B">
        <w:tc>
          <w:tcPr>
            <w:tcW w:w="1294" w:type="dxa"/>
          </w:tcPr>
          <w:p w14:paraId="0731A324" w14:textId="77777777" w:rsidR="004C7F8E" w:rsidRPr="00A339C1" w:rsidRDefault="004C7F8E" w:rsidP="00580F2B">
            <w:pPr>
              <w:rPr>
                <w:rFonts w:eastAsiaTheme="minorEastAsia"/>
              </w:rPr>
            </w:pPr>
            <w:r>
              <w:rPr>
                <w:rFonts w:eastAsiaTheme="minorEastAsia"/>
                <w:i/>
              </w:rPr>
              <w:t>E /</w:t>
            </w:r>
            <w:r>
              <w:rPr>
                <w:rFonts w:eastAsiaTheme="minorEastAsia"/>
              </w:rPr>
              <w:t>V</w:t>
            </w:r>
          </w:p>
        </w:tc>
        <w:tc>
          <w:tcPr>
            <w:tcW w:w="1294" w:type="dxa"/>
          </w:tcPr>
          <w:p w14:paraId="164C5C98" w14:textId="77777777" w:rsidR="004C7F8E" w:rsidRDefault="004C7F8E" w:rsidP="00580F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- 0,7</w:t>
            </w:r>
          </w:p>
        </w:tc>
        <w:tc>
          <w:tcPr>
            <w:tcW w:w="1294" w:type="dxa"/>
          </w:tcPr>
          <w:p w14:paraId="0A88F5C2" w14:textId="77777777" w:rsidR="004C7F8E" w:rsidRDefault="004C7F8E" w:rsidP="00580F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- 0,6</w:t>
            </w:r>
          </w:p>
        </w:tc>
        <w:tc>
          <w:tcPr>
            <w:tcW w:w="1295" w:type="dxa"/>
          </w:tcPr>
          <w:p w14:paraId="4348D257" w14:textId="77777777" w:rsidR="004C7F8E" w:rsidRDefault="004C7F8E" w:rsidP="00580F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- 0,5</w:t>
            </w:r>
          </w:p>
        </w:tc>
        <w:tc>
          <w:tcPr>
            <w:tcW w:w="1295" w:type="dxa"/>
          </w:tcPr>
          <w:p w14:paraId="5BBA3CA7" w14:textId="77777777" w:rsidR="004C7F8E" w:rsidRDefault="004C7F8E" w:rsidP="00580F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- 0,2</w:t>
            </w:r>
          </w:p>
        </w:tc>
        <w:tc>
          <w:tcPr>
            <w:tcW w:w="1295" w:type="dxa"/>
          </w:tcPr>
          <w:p w14:paraId="12B5C5D6" w14:textId="77777777" w:rsidR="004C7F8E" w:rsidRDefault="004C7F8E" w:rsidP="00580F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- 0,1</w:t>
            </w:r>
          </w:p>
        </w:tc>
        <w:tc>
          <w:tcPr>
            <w:tcW w:w="1295" w:type="dxa"/>
          </w:tcPr>
          <w:p w14:paraId="62735D2F" w14:textId="77777777" w:rsidR="004C7F8E" w:rsidRDefault="004C7F8E" w:rsidP="00580F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4C7F8E" w14:paraId="1257C6D3" w14:textId="77777777" w:rsidTr="00580F2B">
        <w:tc>
          <w:tcPr>
            <w:tcW w:w="1294" w:type="dxa"/>
          </w:tcPr>
          <w:p w14:paraId="44670EAD" w14:textId="77777777" w:rsidR="004C7F8E" w:rsidRPr="00A339C1" w:rsidRDefault="004C7F8E" w:rsidP="00580F2B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j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1294" w:type="dxa"/>
          </w:tcPr>
          <w:p w14:paraId="40AACDB4" w14:textId="77777777" w:rsidR="004C7F8E" w:rsidRDefault="004C7F8E" w:rsidP="00580F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-5,7</w:t>
            </w:r>
          </w:p>
        </w:tc>
        <w:tc>
          <w:tcPr>
            <w:tcW w:w="1294" w:type="dxa"/>
          </w:tcPr>
          <w:p w14:paraId="73A23779" w14:textId="77777777" w:rsidR="004C7F8E" w:rsidRDefault="004C7F8E" w:rsidP="00580F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-5,5</w:t>
            </w:r>
          </w:p>
        </w:tc>
        <w:tc>
          <w:tcPr>
            <w:tcW w:w="1295" w:type="dxa"/>
          </w:tcPr>
          <w:p w14:paraId="313708EE" w14:textId="77777777" w:rsidR="004C7F8E" w:rsidRDefault="004C7F8E" w:rsidP="00580F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-5,3</w:t>
            </w:r>
          </w:p>
        </w:tc>
        <w:tc>
          <w:tcPr>
            <w:tcW w:w="1295" w:type="dxa"/>
          </w:tcPr>
          <w:p w14:paraId="275E6290" w14:textId="77777777" w:rsidR="004C7F8E" w:rsidRDefault="004C7F8E" w:rsidP="00580F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-5,7</w:t>
            </w:r>
          </w:p>
        </w:tc>
        <w:tc>
          <w:tcPr>
            <w:tcW w:w="1295" w:type="dxa"/>
          </w:tcPr>
          <w:p w14:paraId="6AF7E874" w14:textId="77777777" w:rsidR="004C7F8E" w:rsidRDefault="004C7F8E" w:rsidP="00580F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-6,1</w:t>
            </w:r>
          </w:p>
        </w:tc>
        <w:tc>
          <w:tcPr>
            <w:tcW w:w="1295" w:type="dxa"/>
          </w:tcPr>
          <w:p w14:paraId="439DA88B" w14:textId="77777777" w:rsidR="004C7F8E" w:rsidRDefault="004C7F8E" w:rsidP="00580F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-6,5</w:t>
            </w:r>
          </w:p>
        </w:tc>
      </w:tr>
    </w:tbl>
    <w:p w14:paraId="4C733676" w14:textId="77777777" w:rsidR="004C7F8E" w:rsidRDefault="004C7F8E" w:rsidP="004C7F8E">
      <w:pPr>
        <w:jc w:val="both"/>
        <w:rPr>
          <w:i/>
        </w:rPr>
      </w:pPr>
    </w:p>
    <w:p w14:paraId="7AFD3457" w14:textId="77777777" w:rsidR="004C7F8E" w:rsidRPr="00AE178E" w:rsidRDefault="004C7F8E" w:rsidP="004C7F8E">
      <w:pPr>
        <w:pStyle w:val="Paragraphedeliste"/>
        <w:numPr>
          <w:ilvl w:val="0"/>
          <w:numId w:val="2"/>
        </w:numPr>
        <w:jc w:val="both"/>
      </w:pPr>
      <w:r w:rsidRPr="0059784B">
        <w:rPr>
          <w:rFonts w:eastAsiaTheme="minorEastAsia"/>
        </w:rPr>
        <w:t>A partir d’une construction à préciser,</w:t>
      </w:r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>déterminer la valeur numérique du potentiel de corrosion et de la densité de courant de corrosion.</w:t>
      </w:r>
    </w:p>
    <w:p w14:paraId="5ECDE7E3" w14:textId="77777777" w:rsidR="004C7F8E" w:rsidRDefault="004C7F8E" w:rsidP="004C7F8E">
      <w:pPr>
        <w:jc w:val="both"/>
      </w:pPr>
    </w:p>
    <w:p w14:paraId="1C45DA17" w14:textId="77777777" w:rsidR="004C7F8E" w:rsidRPr="00AE178E" w:rsidRDefault="004C7F8E" w:rsidP="004C7F8E">
      <w:pPr>
        <w:jc w:val="both"/>
        <w:rPr>
          <w:i/>
        </w:rPr>
      </w:pPr>
      <w:r w:rsidRPr="00AE178E">
        <w:rPr>
          <w:i/>
        </w:rPr>
        <w:t>La corrosion de l’armature d’un béton armé carbonaté se traduit par une réduction de l’épaisseur ou de la section transversale de l’armature dans le temps.</w:t>
      </w:r>
    </w:p>
    <w:p w14:paraId="3ECC6A0A" w14:textId="77777777" w:rsidR="004C7F8E" w:rsidRPr="00AE178E" w:rsidRDefault="004C7F8E" w:rsidP="004C7F8E">
      <w:pPr>
        <w:jc w:val="both"/>
      </w:pPr>
    </w:p>
    <w:p w14:paraId="430CD8A0" w14:textId="77777777" w:rsidR="004C7F8E" w:rsidRPr="00AE178E" w:rsidRDefault="004C7F8E" w:rsidP="004C7F8E">
      <w:pPr>
        <w:pStyle w:val="Paragraphedeliste"/>
        <w:numPr>
          <w:ilvl w:val="0"/>
          <w:numId w:val="2"/>
        </w:numPr>
        <w:rPr>
          <w:rFonts w:eastAsiaTheme="minorEastAsia"/>
          <w:i/>
        </w:rPr>
      </w:pPr>
      <w:r>
        <w:rPr>
          <w:rFonts w:eastAsiaTheme="minorEastAsia"/>
        </w:rPr>
        <w:t xml:space="preserve">Exprimer la vitesse de réduction de l’épaisseur </w:t>
      </w:r>
      <w:r>
        <w:rPr>
          <w:rFonts w:eastAsiaTheme="minorEastAsia"/>
          <w:i/>
        </w:rPr>
        <w:t>e</w:t>
      </w:r>
      <w:r>
        <w:rPr>
          <w:rFonts w:eastAsiaTheme="minorEastAsia"/>
        </w:rPr>
        <w:t xml:space="preserve"> (donnée par d</w:t>
      </w:r>
      <w:r>
        <w:rPr>
          <w:rFonts w:eastAsiaTheme="minorEastAsia"/>
          <w:i/>
        </w:rPr>
        <w:t>e/</w:t>
      </w:r>
      <w:proofErr w:type="spellStart"/>
      <w:proofErr w:type="gramStart"/>
      <w:r w:rsidRPr="00E92F2E">
        <w:rPr>
          <w:rFonts w:eastAsiaTheme="minorEastAsia"/>
        </w:rPr>
        <w:t>d</w:t>
      </w:r>
      <w:r>
        <w:rPr>
          <w:rFonts w:eastAsiaTheme="minorEastAsia"/>
          <w:i/>
        </w:rPr>
        <w:t>t</w:t>
      </w:r>
      <w:proofErr w:type="spellEnd"/>
      <w:r>
        <w:rPr>
          <w:rFonts w:eastAsiaTheme="minorEastAsia"/>
        </w:rPr>
        <w:t>)  en</w:t>
      </w:r>
      <w:proofErr w:type="gramEnd"/>
      <w:r>
        <w:rPr>
          <w:rFonts w:eastAsiaTheme="minorEastAsia"/>
        </w:rPr>
        <w:t xml:space="preserve"> fonction de :</w:t>
      </w:r>
      <w:r w:rsidRPr="00AE178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178E">
        <w:rPr>
          <w:rFonts w:eastAsiaTheme="minorEastAsia"/>
        </w:rPr>
        <w:t xml:space="preserve">la densité surfacique du courant de corrosion </w:t>
      </w:r>
      <w:proofErr w:type="spellStart"/>
      <w:r w:rsidRPr="00AE178E">
        <w:rPr>
          <w:rFonts w:eastAsiaTheme="minorEastAsia"/>
          <w:i/>
        </w:rPr>
        <w:t>j</w:t>
      </w:r>
      <w:r w:rsidRPr="00AE178E">
        <w:rPr>
          <w:rFonts w:eastAsiaTheme="minorEastAsia"/>
          <w:i/>
          <w:vertAlign w:val="subscript"/>
        </w:rPr>
        <w:t>cor</w:t>
      </w:r>
      <w:proofErr w:type="spellEnd"/>
      <w:r>
        <w:rPr>
          <w:rFonts w:eastAsiaTheme="minorEastAsia"/>
          <w:i/>
          <w:vertAlign w:val="subscript"/>
        </w:rPr>
        <w:t xml:space="preserve">, </w:t>
      </w:r>
      <w:r w:rsidRPr="00AE178E">
        <w:rPr>
          <w:rFonts w:eastAsiaTheme="minorEastAsia"/>
        </w:rPr>
        <w:t xml:space="preserve">la masse molaire </w:t>
      </w:r>
      <w:r w:rsidRPr="00AE178E">
        <w:rPr>
          <w:rFonts w:eastAsiaTheme="minorEastAsia"/>
          <w:i/>
        </w:rPr>
        <w:t>M</w:t>
      </w:r>
      <w:r w:rsidRPr="00AE178E">
        <w:rPr>
          <w:rFonts w:eastAsiaTheme="minorEastAsia"/>
        </w:rPr>
        <w:t xml:space="preserve"> du fer</w:t>
      </w:r>
      <w:r>
        <w:rPr>
          <w:rFonts w:eastAsiaTheme="minorEastAsia"/>
          <w:i/>
        </w:rPr>
        <w:t xml:space="preserve">, </w:t>
      </w:r>
      <w:r>
        <w:rPr>
          <w:rFonts w:eastAsiaTheme="minorEastAsia"/>
        </w:rPr>
        <w:t>l</w:t>
      </w:r>
      <w:r w:rsidRPr="00AE178E">
        <w:rPr>
          <w:rFonts w:eastAsiaTheme="minorEastAsia"/>
        </w:rPr>
        <w:t xml:space="preserve">a masse volumique ρ </w:t>
      </w:r>
      <w:r>
        <w:rPr>
          <w:rFonts w:eastAsiaTheme="minorEastAsia"/>
        </w:rPr>
        <w:t xml:space="preserve">du fer et </w:t>
      </w:r>
      <w:r w:rsidRPr="00AE178E">
        <w:rPr>
          <w:rFonts w:eastAsiaTheme="minorEastAsia"/>
        </w:rPr>
        <w:t xml:space="preserve">la constante de Faraday </w:t>
      </w:r>
      <w:r w:rsidRPr="00AE178E">
        <w:rPr>
          <w:rFonts w:eastAsiaTheme="minorEastAsia"/>
          <w:i/>
        </w:rPr>
        <w:t>F</w:t>
      </w:r>
      <w:r w:rsidRPr="00AE178E">
        <w:rPr>
          <w:rFonts w:eastAsiaTheme="minorEastAsia"/>
        </w:rPr>
        <w:t>.</w:t>
      </w:r>
    </w:p>
    <w:p w14:paraId="5EDF478B" w14:textId="77777777" w:rsidR="004C7F8E" w:rsidRDefault="004C7F8E" w:rsidP="004C7F8E">
      <w:pPr>
        <w:jc w:val="both"/>
      </w:pPr>
    </w:p>
    <w:p w14:paraId="36C87C09" w14:textId="77777777" w:rsidR="004C7F8E" w:rsidRPr="00993BE9" w:rsidRDefault="004C7F8E" w:rsidP="004C7F8E">
      <w:pPr>
        <w:pStyle w:val="Paragraphedeliste"/>
        <w:numPr>
          <w:ilvl w:val="0"/>
          <w:numId w:val="2"/>
        </w:numPr>
        <w:jc w:val="both"/>
      </w:pPr>
      <w:r>
        <w:lastRenderedPageBreak/>
        <w:t xml:space="preserve">Application </w:t>
      </w:r>
      <w:proofErr w:type="gramStart"/>
      <w:r>
        <w:t>numérique:</w:t>
      </w:r>
      <w:proofErr w:type="gramEnd"/>
      <w:r>
        <w:t xml:space="preserve"> </w:t>
      </w:r>
      <w:r>
        <w:rPr>
          <w:rFonts w:eastAsiaTheme="minorEastAsia"/>
        </w:rPr>
        <w:t xml:space="preserve">pour une densité du courant de corrosion égale à 1,0 </w:t>
      </w:r>
      <m:oMath>
        <m:r>
          <w:rPr>
            <w:rFonts w:ascii="Cambria Math" w:eastAsiaTheme="minorEastAsia" w:hAnsi="Cambria Math"/>
          </w:rPr>
          <m:t>μA/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, calculer la vitesse de réduction de l’épaisseur de l’armature en </w:t>
      </w:r>
      <m:oMath>
        <m:r>
          <w:rPr>
            <w:rFonts w:ascii="Cambria Math" w:eastAsiaTheme="minorEastAsia" w:hAnsi="Cambria Math"/>
          </w:rPr>
          <m:t>μm/an</m:t>
        </m:r>
      </m:oMath>
      <w:r>
        <w:rPr>
          <w:rFonts w:eastAsiaTheme="minorEastAsia"/>
        </w:rPr>
        <w:t>.</w:t>
      </w:r>
    </w:p>
    <w:p w14:paraId="0DED8E20" w14:textId="3608A029" w:rsidR="004C7F8E" w:rsidRDefault="004C7F8E" w:rsidP="001A6D0C">
      <w:pPr>
        <w:spacing w:after="120"/>
        <w:rPr>
          <w:rFonts w:ascii="Century" w:hAnsi="Century"/>
        </w:rPr>
      </w:pPr>
    </w:p>
    <w:p w14:paraId="1730E04E" w14:textId="44E5F5CC" w:rsidR="004C7F8E" w:rsidRDefault="004C7F8E" w:rsidP="004C7F8E">
      <w:pPr>
        <w:keepNext/>
        <w:keepLines/>
        <w:jc w:val="both"/>
        <w:rPr>
          <w:rFonts w:cs="Arial"/>
          <w:b/>
        </w:rPr>
      </w:pPr>
      <w:r w:rsidRPr="00FB0061">
        <w:rPr>
          <w:rFonts w:cs="Arial"/>
          <w:b/>
          <w:u w:val="single"/>
        </w:rPr>
        <w:t>Données</w:t>
      </w:r>
      <w:r w:rsidRPr="00FB0061">
        <w:rPr>
          <w:rFonts w:cs="Arial"/>
          <w:b/>
        </w:rPr>
        <w:t> :</w:t>
      </w:r>
    </w:p>
    <w:p w14:paraId="4919CFBA" w14:textId="77777777" w:rsidR="004C7F8E" w:rsidRDefault="004C7F8E" w:rsidP="004C7F8E">
      <w:r>
        <w:t xml:space="preserve">Constante d’Avogadro : </w:t>
      </w:r>
      <w:r>
        <w:rPr>
          <w:i/>
        </w:rPr>
        <w:t>N</w:t>
      </w:r>
      <w:r>
        <w:rPr>
          <w:vertAlign w:val="subscript"/>
        </w:rPr>
        <w:t>A</w:t>
      </w:r>
      <w:r>
        <w:t>= 6,0.10</w:t>
      </w:r>
      <w:r>
        <w:rPr>
          <w:vertAlign w:val="superscript"/>
        </w:rPr>
        <w:t>23</w:t>
      </w:r>
      <w:r>
        <w:t xml:space="preserve"> mol</w:t>
      </w:r>
      <w:r>
        <w:rPr>
          <w:vertAlign w:val="superscript"/>
        </w:rPr>
        <w:t>-1</w:t>
      </w:r>
      <w:r>
        <w:t>.</w:t>
      </w:r>
    </w:p>
    <w:p w14:paraId="7E42DFAB" w14:textId="77777777" w:rsidR="004C7F8E" w:rsidRDefault="004C7F8E" w:rsidP="004C7F8E">
      <w:r>
        <w:t>Constante des gaz parfaits</w:t>
      </w:r>
      <w:proofErr w:type="gramStart"/>
      <w:r>
        <w:t> :R</w:t>
      </w:r>
      <w:proofErr w:type="gramEnd"/>
      <w:r>
        <w:t>= 8,3 J.K</w:t>
      </w:r>
      <w:r>
        <w:rPr>
          <w:vertAlign w:val="superscript"/>
        </w:rPr>
        <w:t>-1</w:t>
      </w:r>
      <w:r>
        <w:t>.mol</w:t>
      </w:r>
      <w:r>
        <w:rPr>
          <w:vertAlign w:val="superscript"/>
        </w:rPr>
        <w:t>-1</w:t>
      </w:r>
    </w:p>
    <w:p w14:paraId="668B9FCD" w14:textId="77777777" w:rsidR="004C7F8E" w:rsidRDefault="004C7F8E" w:rsidP="004C7F8E">
      <w:pPr>
        <w:jc w:val="both"/>
        <w:rPr>
          <w:vertAlign w:val="superscript"/>
        </w:rPr>
      </w:pPr>
      <w:r w:rsidRPr="00A2355E">
        <w:t xml:space="preserve">Constante de Faraday : </w:t>
      </w:r>
      <w:r>
        <w:t xml:space="preserve">F= </w:t>
      </w:r>
      <w:r w:rsidRPr="00B071FE">
        <w:t>96500 C.mol</w:t>
      </w:r>
      <w:r w:rsidRPr="00B071FE">
        <w:rPr>
          <w:vertAlign w:val="superscript"/>
        </w:rPr>
        <w:t>-1</w:t>
      </w:r>
    </w:p>
    <w:p w14:paraId="157E5EE8" w14:textId="77777777" w:rsidR="004C7F8E" w:rsidRPr="00FB0061" w:rsidRDefault="004C7F8E" w:rsidP="004C7F8E">
      <w:pPr>
        <w:jc w:val="both"/>
        <w:rPr>
          <w:rFonts w:cs="Arial"/>
        </w:rPr>
      </w:pPr>
      <w:r w:rsidRPr="00FB0061">
        <w:rPr>
          <w:rFonts w:cs="Arial"/>
        </w:rPr>
        <w:t xml:space="preserve">Constante de Nernst à 298 K : </w:t>
      </w:r>
      <w:r w:rsidRPr="00EE7340">
        <w:rPr>
          <w:rFonts w:ascii="Arial" w:hAnsi="Arial" w:cs="Arial"/>
          <w:position w:val="-22"/>
        </w:rPr>
        <w:object w:dxaOrig="1660" w:dyaOrig="580" w14:anchorId="6C4A33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83.25pt;height:29.25pt" o:ole="">
            <v:imagedata r:id="rId15" o:title=""/>
          </v:shape>
          <o:OLEObject Type="Embed" ProgID="Equation.3" ShapeID="_x0000_i1043" DrawAspect="Content" ObjectID="_1737961083" r:id="rId16"/>
        </w:object>
      </w:r>
    </w:p>
    <w:p w14:paraId="2C0B9F2F" w14:textId="77777777" w:rsidR="004C7F8E" w:rsidRPr="000B272A" w:rsidRDefault="004C7F8E" w:rsidP="004C7F8E">
      <w:pPr>
        <w:jc w:val="both"/>
      </w:pPr>
      <w:r w:rsidRPr="000B272A">
        <w:rPr>
          <w:b/>
        </w:rPr>
        <w:t>Numéros atomiques </w:t>
      </w:r>
      <w:r w:rsidRPr="000B272A">
        <w:t>: 6 (C) ; 8 (O) ; 20 (Ca).</w:t>
      </w:r>
    </w:p>
    <w:p w14:paraId="54E68AB1" w14:textId="77777777" w:rsidR="004C7F8E" w:rsidRPr="0001529D" w:rsidRDefault="004C7F8E" w:rsidP="004C7F8E">
      <w:pPr>
        <w:jc w:val="both"/>
        <w:rPr>
          <w:b/>
        </w:rPr>
      </w:pPr>
      <w:r w:rsidRPr="00580CF2">
        <w:rPr>
          <w:b/>
        </w:rPr>
        <w:t>Masses molaires :</w:t>
      </w:r>
      <w:r>
        <w:rPr>
          <w:b/>
        </w:rPr>
        <w:t xml:space="preserve"> </w:t>
      </w:r>
      <w:proofErr w:type="gramStart"/>
      <w:r>
        <w:t>Ca</w:t>
      </w:r>
      <w:proofErr w:type="gramEnd"/>
      <w:r w:rsidRPr="00CD3FD1">
        <w:t xml:space="preserve"> : </w:t>
      </w:r>
      <w:r>
        <w:t>40</w:t>
      </w:r>
      <w:r w:rsidRPr="00CD3FD1">
        <w:t xml:space="preserve"> g.mol</w:t>
      </w:r>
      <w:r w:rsidRPr="00CD3FD1">
        <w:rPr>
          <w:vertAlign w:val="superscript"/>
        </w:rPr>
        <w:t>-1 </w:t>
      </w:r>
      <w:r w:rsidRPr="00CD3FD1">
        <w:t xml:space="preserve">; </w:t>
      </w:r>
      <w:r>
        <w:t>Fe</w:t>
      </w:r>
      <w:r w:rsidRPr="00CD3FD1">
        <w:t xml:space="preserve"> : </w:t>
      </w:r>
      <w:r>
        <w:t>55</w:t>
      </w:r>
      <w:r w:rsidRPr="00CD3FD1">
        <w:t xml:space="preserve"> g.mol</w:t>
      </w:r>
      <w:r w:rsidRPr="00CD3FD1">
        <w:rPr>
          <w:vertAlign w:val="superscript"/>
        </w:rPr>
        <w:t>-1 </w:t>
      </w:r>
      <w:r w:rsidRPr="00CD3FD1">
        <w:t xml:space="preserve">; </w:t>
      </w:r>
      <w:r>
        <w:t>Si : 28 g.mol</w:t>
      </w:r>
      <w:r w:rsidRPr="00CD3FD1">
        <w:rPr>
          <w:vertAlign w:val="superscript"/>
        </w:rPr>
        <w:t>-1</w:t>
      </w:r>
      <w:r>
        <w:rPr>
          <w:vertAlign w:val="superscript"/>
        </w:rPr>
        <w:t> </w:t>
      </w:r>
    </w:p>
    <w:p w14:paraId="2B63801E" w14:textId="77777777" w:rsidR="004C7F8E" w:rsidRDefault="004C7F8E" w:rsidP="004C7F8E">
      <w:pPr>
        <w:jc w:val="both"/>
      </w:pPr>
      <w:r w:rsidRPr="005433EC">
        <w:t>Masse volumique du fer : ρ=8000 kg.m</w:t>
      </w:r>
      <w:r w:rsidRPr="005433EC">
        <w:rPr>
          <w:vertAlign w:val="superscript"/>
        </w:rPr>
        <w:t>-3</w:t>
      </w:r>
      <w:r w:rsidRPr="005433EC">
        <w:t>.</w:t>
      </w:r>
    </w:p>
    <w:p w14:paraId="09792418" w14:textId="451372B8" w:rsidR="004C7F8E" w:rsidRDefault="004C7F8E" w:rsidP="004C7F8E">
      <w:pPr>
        <w:jc w:val="both"/>
      </w:pPr>
      <w:r w:rsidRPr="005433EC">
        <w:t>Capacités thermiques molaires à pression constante </w:t>
      </w:r>
      <w:proofErr w:type="spellStart"/>
      <w:proofErr w:type="gramStart"/>
      <w:r w:rsidRPr="005433EC">
        <w:t>C</w:t>
      </w:r>
      <w:r w:rsidRPr="005433EC">
        <w:rPr>
          <w:vertAlign w:val="subscript"/>
        </w:rPr>
        <w:t>p,m</w:t>
      </w:r>
      <w:proofErr w:type="spellEnd"/>
      <w:proofErr w:type="gramEnd"/>
      <w:r w:rsidRPr="005433EC">
        <w:t xml:space="preserve"> (en J.K</w:t>
      </w:r>
      <w:r w:rsidRPr="005433EC">
        <w:rPr>
          <w:vertAlign w:val="superscript"/>
        </w:rPr>
        <w:t>-1</w:t>
      </w:r>
      <w:r w:rsidRPr="005433EC">
        <w:t>.mol</w:t>
      </w:r>
      <w:r w:rsidRPr="005433EC">
        <w:rPr>
          <w:vertAlign w:val="superscript"/>
        </w:rPr>
        <w:t>-1</w:t>
      </w:r>
      <w:r w:rsidRPr="005433EC">
        <w:t xml:space="preserve">) :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640"/>
        <w:gridCol w:w="1677"/>
        <w:gridCol w:w="2308"/>
        <w:gridCol w:w="1276"/>
      </w:tblGrid>
      <w:tr w:rsidR="004C7F8E" w:rsidRPr="00490F13" w14:paraId="099BB970" w14:textId="77777777" w:rsidTr="00580F2B">
        <w:tc>
          <w:tcPr>
            <w:tcW w:w="1640" w:type="dxa"/>
          </w:tcPr>
          <w:p w14:paraId="076A70D5" w14:textId="77777777" w:rsidR="004C7F8E" w:rsidRPr="00490F13" w:rsidRDefault="004C7F8E" w:rsidP="00580F2B">
            <w:proofErr w:type="gramStart"/>
            <w:r>
              <w:t>composé</w:t>
            </w:r>
            <w:proofErr w:type="gramEnd"/>
          </w:p>
        </w:tc>
        <w:tc>
          <w:tcPr>
            <w:tcW w:w="1677" w:type="dxa"/>
          </w:tcPr>
          <w:p w14:paraId="19775321" w14:textId="77777777" w:rsidR="004C7F8E" w:rsidRPr="00490F13" w:rsidRDefault="004C7F8E" w:rsidP="00580F2B">
            <w:pPr>
              <w:rPr>
                <w:vertAlign w:val="superscript"/>
              </w:rPr>
            </w:pPr>
            <w:proofErr w:type="gramStart"/>
            <w:r w:rsidRPr="005433EC">
              <w:t>Ca(</w:t>
            </w:r>
            <w:proofErr w:type="gramEnd"/>
            <w:r w:rsidRPr="005433EC">
              <w:t>OH)</w:t>
            </w:r>
            <w:r w:rsidRPr="005433EC">
              <w:rPr>
                <w:vertAlign w:val="subscript"/>
              </w:rPr>
              <w:t>2</w:t>
            </w:r>
            <w:r>
              <w:t>(s)</w:t>
            </w:r>
          </w:p>
        </w:tc>
        <w:tc>
          <w:tcPr>
            <w:tcW w:w="2308" w:type="dxa"/>
          </w:tcPr>
          <w:p w14:paraId="11BCD1DD" w14:textId="77777777" w:rsidR="004C7F8E" w:rsidRPr="00490F13" w:rsidRDefault="004C7F8E" w:rsidP="00580F2B">
            <w:r w:rsidRPr="005433EC">
              <w:t>[Ca</w:t>
            </w:r>
            <w:r w:rsidRPr="005433EC">
              <w:rPr>
                <w:vertAlign w:val="subscript"/>
              </w:rPr>
              <w:t>3</w:t>
            </w:r>
            <w:r w:rsidRPr="005433EC">
              <w:t>Si</w:t>
            </w:r>
            <w:r w:rsidRPr="005433EC">
              <w:rPr>
                <w:vertAlign w:val="subscript"/>
              </w:rPr>
              <w:t>2</w:t>
            </w:r>
            <w:r w:rsidRPr="005433EC">
              <w:t>O</w:t>
            </w:r>
            <w:r w:rsidRPr="005433EC">
              <w:rPr>
                <w:vertAlign w:val="subscript"/>
              </w:rPr>
              <w:t>7</w:t>
            </w:r>
            <w:r w:rsidRPr="005433EC">
              <w:t>, 3</w:t>
            </w:r>
            <w:proofErr w:type="gramStart"/>
            <w:r w:rsidRPr="005433EC">
              <w:t>H</w:t>
            </w:r>
            <w:r w:rsidRPr="005433EC">
              <w:rPr>
                <w:vertAlign w:val="subscript"/>
              </w:rPr>
              <w:t>2</w:t>
            </w:r>
            <w:r>
              <w:t>O](</w:t>
            </w:r>
            <w:proofErr w:type="gramEnd"/>
            <w:r>
              <w:t>s)</w:t>
            </w:r>
          </w:p>
        </w:tc>
        <w:tc>
          <w:tcPr>
            <w:tcW w:w="1276" w:type="dxa"/>
          </w:tcPr>
          <w:p w14:paraId="13CBB998" w14:textId="77777777" w:rsidR="004C7F8E" w:rsidRPr="00490F13" w:rsidRDefault="004C7F8E" w:rsidP="00580F2B">
            <w:proofErr w:type="gramStart"/>
            <w:r w:rsidRPr="005433EC">
              <w:t>H</w:t>
            </w:r>
            <w:r w:rsidRPr="005433EC">
              <w:rPr>
                <w:vertAlign w:val="subscript"/>
              </w:rPr>
              <w:t>2</w:t>
            </w:r>
            <w:r>
              <w:t>O(</w:t>
            </w:r>
            <w:proofErr w:type="spellStart"/>
            <w:proofErr w:type="gramEnd"/>
            <w:r>
              <w:t>liq</w:t>
            </w:r>
            <w:proofErr w:type="spellEnd"/>
            <w:r>
              <w:t>)</w:t>
            </w:r>
          </w:p>
        </w:tc>
      </w:tr>
      <w:tr w:rsidR="004C7F8E" w:rsidRPr="00490F13" w14:paraId="786E4EB4" w14:textId="77777777" w:rsidTr="00580F2B">
        <w:tc>
          <w:tcPr>
            <w:tcW w:w="1640" w:type="dxa"/>
          </w:tcPr>
          <w:p w14:paraId="3625C086" w14:textId="77777777" w:rsidR="004C7F8E" w:rsidRPr="00490F13" w:rsidRDefault="004C7F8E" w:rsidP="00580F2B">
            <w:proofErr w:type="spellStart"/>
            <w:proofErr w:type="gramStart"/>
            <w:r w:rsidRPr="005433EC">
              <w:t>C</w:t>
            </w:r>
            <w:r w:rsidRPr="005433EC">
              <w:rPr>
                <w:vertAlign w:val="subscript"/>
              </w:rPr>
              <w:t>p,m</w:t>
            </w:r>
            <w:proofErr w:type="spellEnd"/>
            <w:proofErr w:type="gramEnd"/>
          </w:p>
        </w:tc>
        <w:tc>
          <w:tcPr>
            <w:tcW w:w="1677" w:type="dxa"/>
          </w:tcPr>
          <w:p w14:paraId="6157AF6B" w14:textId="77777777" w:rsidR="004C7F8E" w:rsidRPr="00490F13" w:rsidRDefault="004C7F8E" w:rsidP="00580F2B">
            <w:r>
              <w:t>80</w:t>
            </w:r>
          </w:p>
        </w:tc>
        <w:tc>
          <w:tcPr>
            <w:tcW w:w="2308" w:type="dxa"/>
          </w:tcPr>
          <w:p w14:paraId="7BF1746F" w14:textId="77777777" w:rsidR="004C7F8E" w:rsidRPr="00490F13" w:rsidRDefault="004C7F8E" w:rsidP="00580F2B">
            <w:r>
              <w:t>340</w:t>
            </w:r>
          </w:p>
        </w:tc>
        <w:tc>
          <w:tcPr>
            <w:tcW w:w="1276" w:type="dxa"/>
          </w:tcPr>
          <w:p w14:paraId="790CBAFC" w14:textId="77777777" w:rsidR="004C7F8E" w:rsidRPr="00490F13" w:rsidRDefault="004C7F8E" w:rsidP="00580F2B">
            <w:r>
              <w:t>75</w:t>
            </w:r>
          </w:p>
        </w:tc>
      </w:tr>
    </w:tbl>
    <w:p w14:paraId="3ACE44A7" w14:textId="77777777" w:rsidR="004C7F8E" w:rsidRDefault="004C7F8E" w:rsidP="004C7F8E">
      <w:pPr>
        <w:jc w:val="both"/>
      </w:pPr>
    </w:p>
    <w:p w14:paraId="48D6BF0D" w14:textId="1624CDFE" w:rsidR="004C7F8E" w:rsidRPr="00490F13" w:rsidRDefault="004C7F8E" w:rsidP="004C7F8E">
      <w:pPr>
        <w:jc w:val="both"/>
      </w:pPr>
      <w:r w:rsidRPr="00490F13">
        <w:t xml:space="preserve">Conductivités ioniques molaires </w:t>
      </w:r>
      <w:r>
        <w:rPr>
          <w:rFonts w:ascii="Symbol" w:hAnsi="Symbol"/>
        </w:rPr>
        <w:t></w:t>
      </w:r>
      <w:r w:rsidRPr="00342A41">
        <w:rPr>
          <w:rFonts w:ascii="Symbol" w:hAnsi="Symbol"/>
          <w:sz w:val="32"/>
          <w:szCs w:val="32"/>
          <w:vertAlign w:val="superscript"/>
        </w:rPr>
        <w:t></w:t>
      </w:r>
      <w:r w:rsidRPr="00342A41">
        <w:rPr>
          <w:sz w:val="32"/>
          <w:szCs w:val="32"/>
        </w:rPr>
        <w:t xml:space="preserve"> </w:t>
      </w:r>
      <w:r w:rsidRPr="00490F13">
        <w:t>(en mS.m</w:t>
      </w:r>
      <w:r w:rsidRPr="00490F13">
        <w:rPr>
          <w:vertAlign w:val="superscript"/>
        </w:rPr>
        <w:t>2</w:t>
      </w:r>
      <w:r w:rsidRPr="00490F13">
        <w:t>.mol</w:t>
      </w:r>
      <w:r w:rsidRPr="00490F13">
        <w:rPr>
          <w:vertAlign w:val="superscript"/>
        </w:rPr>
        <w:t>-1</w:t>
      </w:r>
      <w:r w:rsidRPr="00490F13">
        <w:t>)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640"/>
        <w:gridCol w:w="1677"/>
        <w:gridCol w:w="1651"/>
        <w:gridCol w:w="1933"/>
      </w:tblGrid>
      <w:tr w:rsidR="004C7F8E" w:rsidRPr="00490F13" w14:paraId="041D920B" w14:textId="77777777" w:rsidTr="00580F2B">
        <w:tc>
          <w:tcPr>
            <w:tcW w:w="1640" w:type="dxa"/>
          </w:tcPr>
          <w:p w14:paraId="716C35DA" w14:textId="77777777" w:rsidR="004C7F8E" w:rsidRPr="00490F13" w:rsidRDefault="004C7F8E" w:rsidP="00580F2B">
            <w:r w:rsidRPr="00490F13">
              <w:t>Ion</w:t>
            </w:r>
          </w:p>
        </w:tc>
        <w:tc>
          <w:tcPr>
            <w:tcW w:w="1677" w:type="dxa"/>
          </w:tcPr>
          <w:p w14:paraId="5F5AEE1F" w14:textId="77777777" w:rsidR="004C7F8E" w:rsidRPr="00490F13" w:rsidRDefault="004C7F8E" w:rsidP="00580F2B">
            <w:pPr>
              <w:rPr>
                <w:vertAlign w:val="superscript"/>
              </w:rPr>
            </w:pPr>
            <w:r w:rsidRPr="00490F13">
              <w:t>H</w:t>
            </w:r>
            <w:r w:rsidRPr="00490F13"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 w:rsidRPr="00490F13">
              <w:t xml:space="preserve"> </w:t>
            </w:r>
          </w:p>
        </w:tc>
        <w:tc>
          <w:tcPr>
            <w:tcW w:w="1651" w:type="dxa"/>
          </w:tcPr>
          <w:p w14:paraId="3E6DF3E7" w14:textId="77777777" w:rsidR="004C7F8E" w:rsidRPr="00490F13" w:rsidRDefault="004C7F8E" w:rsidP="00580F2B">
            <w:r w:rsidRPr="00490F13">
              <w:t>Cl</w:t>
            </w:r>
            <w:r w:rsidRPr="00490F13">
              <w:rPr>
                <w:vertAlign w:val="superscript"/>
              </w:rPr>
              <w:t>-</w:t>
            </w:r>
            <w:r w:rsidRPr="00490F13">
              <w:t>(</w:t>
            </w:r>
            <w:proofErr w:type="spellStart"/>
            <w:r w:rsidRPr="00490F13">
              <w:t>aq</w:t>
            </w:r>
            <w:proofErr w:type="spellEnd"/>
            <w:r w:rsidRPr="00490F13">
              <w:t>)</w:t>
            </w:r>
          </w:p>
        </w:tc>
        <w:tc>
          <w:tcPr>
            <w:tcW w:w="1933" w:type="dxa"/>
          </w:tcPr>
          <w:p w14:paraId="1B32BA30" w14:textId="77777777" w:rsidR="004C7F8E" w:rsidRPr="00490F13" w:rsidRDefault="004C7F8E" w:rsidP="00580F2B">
            <w:r w:rsidRPr="00490F13">
              <w:t>HO</w:t>
            </w:r>
            <w:r w:rsidRPr="00490F13">
              <w:rPr>
                <w:vertAlign w:val="superscript"/>
              </w:rPr>
              <w:t>-</w:t>
            </w:r>
            <w:r w:rsidRPr="00490F13">
              <w:t>(</w:t>
            </w:r>
            <w:proofErr w:type="spellStart"/>
            <w:r w:rsidRPr="00490F13">
              <w:t>aq</w:t>
            </w:r>
            <w:proofErr w:type="spellEnd"/>
            <w:r w:rsidRPr="00490F13">
              <w:t>)</w:t>
            </w:r>
          </w:p>
        </w:tc>
      </w:tr>
      <w:tr w:rsidR="004C7F8E" w:rsidRPr="00490F13" w14:paraId="5BE3E9A9" w14:textId="77777777" w:rsidTr="00580F2B">
        <w:tc>
          <w:tcPr>
            <w:tcW w:w="1640" w:type="dxa"/>
          </w:tcPr>
          <w:p w14:paraId="7D7851DC" w14:textId="77777777" w:rsidR="004C7F8E" w:rsidRPr="00490F13" w:rsidRDefault="004C7F8E" w:rsidP="00580F2B">
            <w:r w:rsidRPr="00490F13">
              <w:t>Λ</w:t>
            </w:r>
            <w:r w:rsidRPr="00490F13">
              <w:rPr>
                <w:vertAlign w:val="superscript"/>
              </w:rPr>
              <w:t>0</w:t>
            </w:r>
            <w:r w:rsidRPr="00490F13">
              <w:t xml:space="preserve"> </w:t>
            </w:r>
          </w:p>
        </w:tc>
        <w:tc>
          <w:tcPr>
            <w:tcW w:w="1677" w:type="dxa"/>
          </w:tcPr>
          <w:p w14:paraId="0BE96906" w14:textId="77777777" w:rsidR="004C7F8E" w:rsidRPr="00490F13" w:rsidRDefault="004C7F8E" w:rsidP="00580F2B">
            <w:r w:rsidRPr="00490F13">
              <w:t>35,0</w:t>
            </w:r>
          </w:p>
        </w:tc>
        <w:tc>
          <w:tcPr>
            <w:tcW w:w="1651" w:type="dxa"/>
          </w:tcPr>
          <w:p w14:paraId="146EC7A6" w14:textId="77777777" w:rsidR="004C7F8E" w:rsidRPr="00490F13" w:rsidRDefault="004C7F8E" w:rsidP="00580F2B">
            <w:r w:rsidRPr="00490F13">
              <w:t>7,6</w:t>
            </w:r>
          </w:p>
        </w:tc>
        <w:tc>
          <w:tcPr>
            <w:tcW w:w="1933" w:type="dxa"/>
          </w:tcPr>
          <w:p w14:paraId="78EDF52E" w14:textId="77777777" w:rsidR="004C7F8E" w:rsidRPr="00490F13" w:rsidRDefault="004C7F8E" w:rsidP="00580F2B">
            <w:r w:rsidRPr="00490F13">
              <w:t>19,8</w:t>
            </w:r>
          </w:p>
        </w:tc>
      </w:tr>
    </w:tbl>
    <w:p w14:paraId="61DB6201" w14:textId="77777777" w:rsidR="004C7F8E" w:rsidRDefault="004C7F8E" w:rsidP="004C7F8E">
      <w:pPr>
        <w:jc w:val="both"/>
        <w:rPr>
          <w:rFonts w:cs="Arial"/>
        </w:rPr>
      </w:pPr>
    </w:p>
    <w:p w14:paraId="384B9D33" w14:textId="77777777" w:rsidR="004C7F8E" w:rsidRPr="00E30AC6" w:rsidRDefault="004C7F8E" w:rsidP="004C7F8E">
      <w:pPr>
        <w:rPr>
          <w:noProof/>
          <w:lang w:val="en-US"/>
        </w:rPr>
      </w:pPr>
      <w:r w:rsidRPr="00E30AC6">
        <w:rPr>
          <w:b/>
          <w:noProof/>
          <w:lang w:val="en-US"/>
        </w:rPr>
        <w:t>Constantes d’acidité :</w:t>
      </w:r>
      <w:r w:rsidRPr="00E30AC6">
        <w:rPr>
          <w:noProof/>
          <w:lang w:val="en-US"/>
        </w:rPr>
        <w:t xml:space="preserve"> pK</w:t>
      </w:r>
      <w:r w:rsidRPr="00E30AC6">
        <w:rPr>
          <w:noProof/>
          <w:vertAlign w:val="subscript"/>
          <w:lang w:val="en-US"/>
        </w:rPr>
        <w:t>a1</w:t>
      </w:r>
      <w:r w:rsidRPr="00E30AC6">
        <w:rPr>
          <w:noProof/>
          <w:lang w:val="en-US"/>
        </w:rPr>
        <w:t xml:space="preserve"> (CO</w:t>
      </w:r>
      <w:r w:rsidRPr="00E30AC6">
        <w:rPr>
          <w:noProof/>
          <w:vertAlign w:val="subscript"/>
          <w:lang w:val="en-US"/>
        </w:rPr>
        <w:t>2</w:t>
      </w:r>
      <w:r w:rsidRPr="00E30AC6">
        <w:rPr>
          <w:noProof/>
          <w:lang w:val="en-US"/>
        </w:rPr>
        <w:t>, H</w:t>
      </w:r>
      <w:r w:rsidRPr="00E30AC6">
        <w:rPr>
          <w:noProof/>
          <w:vertAlign w:val="subscript"/>
          <w:lang w:val="en-US"/>
        </w:rPr>
        <w:t>2</w:t>
      </w:r>
      <w:r w:rsidRPr="00E30AC6">
        <w:rPr>
          <w:noProof/>
          <w:lang w:val="en-US"/>
        </w:rPr>
        <w:t>O/ HCO</w:t>
      </w:r>
      <w:r w:rsidRPr="00E30AC6">
        <w:rPr>
          <w:noProof/>
          <w:vertAlign w:val="subscript"/>
          <w:lang w:val="en-US"/>
        </w:rPr>
        <w:t>3</w:t>
      </w:r>
      <w:r w:rsidRPr="00E30AC6">
        <w:rPr>
          <w:noProof/>
          <w:vertAlign w:val="superscript"/>
          <w:lang w:val="en-US"/>
        </w:rPr>
        <w:t>-</w:t>
      </w:r>
      <w:r w:rsidRPr="00E30AC6">
        <w:rPr>
          <w:noProof/>
          <w:lang w:val="en-US"/>
        </w:rPr>
        <w:t>) = 6,4 ; pK</w:t>
      </w:r>
      <w:r w:rsidRPr="00E30AC6">
        <w:rPr>
          <w:noProof/>
          <w:vertAlign w:val="subscript"/>
          <w:lang w:val="en-US"/>
        </w:rPr>
        <w:t>a2</w:t>
      </w:r>
      <w:r w:rsidRPr="00E30AC6">
        <w:rPr>
          <w:noProof/>
          <w:lang w:val="en-US"/>
        </w:rPr>
        <w:t xml:space="preserve"> (HCO</w:t>
      </w:r>
      <w:r w:rsidRPr="00E30AC6">
        <w:rPr>
          <w:noProof/>
          <w:vertAlign w:val="subscript"/>
          <w:lang w:val="en-US"/>
        </w:rPr>
        <w:t>3</w:t>
      </w:r>
      <w:r w:rsidRPr="00E30AC6">
        <w:rPr>
          <w:noProof/>
          <w:vertAlign w:val="superscript"/>
          <w:lang w:val="en-US"/>
        </w:rPr>
        <w:t>-</w:t>
      </w:r>
      <w:r w:rsidRPr="00E30AC6">
        <w:rPr>
          <w:noProof/>
          <w:lang w:val="en-US"/>
        </w:rPr>
        <w:t>/CO</w:t>
      </w:r>
      <w:r w:rsidRPr="00E30AC6">
        <w:rPr>
          <w:noProof/>
          <w:vertAlign w:val="subscript"/>
          <w:lang w:val="en-US"/>
        </w:rPr>
        <w:t>3</w:t>
      </w:r>
      <w:r w:rsidRPr="00E30AC6">
        <w:rPr>
          <w:noProof/>
          <w:vertAlign w:val="superscript"/>
          <w:lang w:val="en-US"/>
        </w:rPr>
        <w:t>2-</w:t>
      </w:r>
      <w:r w:rsidRPr="00E30AC6">
        <w:rPr>
          <w:noProof/>
          <w:lang w:val="en-US"/>
        </w:rPr>
        <w:t>) = 10,4</w:t>
      </w:r>
    </w:p>
    <w:p w14:paraId="25D58F55" w14:textId="1CFF5840" w:rsidR="004C7F8E" w:rsidRDefault="004C7F8E" w:rsidP="004C7F8E">
      <w:pPr>
        <w:jc w:val="both"/>
        <w:rPr>
          <w:rFonts w:cs="Arial"/>
        </w:rPr>
      </w:pPr>
      <w:r w:rsidRPr="00B73941">
        <w:rPr>
          <w:rFonts w:cs="Arial"/>
          <w:b/>
        </w:rPr>
        <w:t>Produit de solubilité</w:t>
      </w:r>
      <w:r>
        <w:rPr>
          <w:rFonts w:cs="Arial"/>
        </w:rPr>
        <w:t xml:space="preserve"> : </w:t>
      </w:r>
      <w:proofErr w:type="gramStart"/>
      <w:r>
        <w:rPr>
          <w:rFonts w:cs="Arial"/>
        </w:rPr>
        <w:t>Ks(</w:t>
      </w:r>
      <w:proofErr w:type="gramEnd"/>
      <w:r>
        <w:rPr>
          <w:rFonts w:cs="Arial"/>
        </w:rPr>
        <w:t>CaCO</w:t>
      </w:r>
      <w:r>
        <w:rPr>
          <w:rFonts w:cs="Arial"/>
          <w:vertAlign w:val="subscript"/>
        </w:rPr>
        <w:t>3</w:t>
      </w:r>
      <w:r>
        <w:rPr>
          <w:rFonts w:cs="Arial"/>
        </w:rPr>
        <w:t>)= 3.10</w:t>
      </w:r>
      <w:r>
        <w:rPr>
          <w:rFonts w:cs="Arial"/>
          <w:vertAlign w:val="superscript"/>
        </w:rPr>
        <w:t>-9</w:t>
      </w:r>
      <w:r>
        <w:rPr>
          <w:rFonts w:cs="Arial"/>
        </w:rPr>
        <w:t>, Ks(Ca(OH)</w:t>
      </w:r>
      <w:r>
        <w:rPr>
          <w:rFonts w:cs="Arial"/>
          <w:vertAlign w:val="subscript"/>
        </w:rPr>
        <w:t>2</w:t>
      </w:r>
      <w:r>
        <w:rPr>
          <w:rFonts w:cs="Arial"/>
        </w:rPr>
        <w:t>)= 5.10</w:t>
      </w:r>
      <w:r>
        <w:rPr>
          <w:rFonts w:cs="Arial"/>
          <w:vertAlign w:val="superscript"/>
        </w:rPr>
        <w:t>-6</w:t>
      </w:r>
    </w:p>
    <w:p w14:paraId="4AB9C5E9" w14:textId="0AE953F6" w:rsidR="004C7F8E" w:rsidRPr="00C15C6B" w:rsidRDefault="004C7F8E" w:rsidP="004C7F8E">
      <w:pPr>
        <w:rPr>
          <w:b/>
          <w:noProof/>
        </w:rPr>
      </w:pPr>
      <w:r w:rsidRPr="00E01B27">
        <w:rPr>
          <w:b/>
          <w:noProof/>
        </w:rPr>
        <w:t>Enthalpies standard de formation et entropies standard</w:t>
      </w:r>
      <w:r>
        <w:rPr>
          <w:b/>
          <w:noProof/>
        </w:rPr>
        <w:t xml:space="preserve"> (à 298 K)</w:t>
      </w:r>
      <w:r w:rsidRPr="00E01B27">
        <w:rPr>
          <w:b/>
          <w:noProof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28"/>
        <w:gridCol w:w="2728"/>
        <w:gridCol w:w="2728"/>
      </w:tblGrid>
      <w:tr w:rsidR="004C7F8E" w14:paraId="564A870A" w14:textId="77777777" w:rsidTr="00580F2B">
        <w:tc>
          <w:tcPr>
            <w:tcW w:w="2728" w:type="dxa"/>
          </w:tcPr>
          <w:p w14:paraId="53EA5B67" w14:textId="77777777" w:rsidR="004C7F8E" w:rsidRPr="000A6558" w:rsidRDefault="004C7F8E" w:rsidP="00580F2B">
            <w:pPr>
              <w:rPr>
                <w:noProof/>
              </w:rPr>
            </w:pPr>
          </w:p>
        </w:tc>
        <w:tc>
          <w:tcPr>
            <w:tcW w:w="2728" w:type="dxa"/>
          </w:tcPr>
          <w:p w14:paraId="60C15D80" w14:textId="77777777" w:rsidR="004C7F8E" w:rsidRDefault="004C7F8E" w:rsidP="00580F2B">
            <w:pPr>
              <w:rPr>
                <w:noProof/>
                <w:lang w:val="en-US"/>
              </w:rPr>
            </w:pPr>
            <w:r w:rsidRPr="00B7215B">
              <w:rPr>
                <w:rFonts w:ascii="Symbol" w:hAnsi="Symbol"/>
                <w:noProof/>
                <w:lang w:val="en-US"/>
              </w:rPr>
              <w:t></w:t>
            </w:r>
            <w:r>
              <w:rPr>
                <w:noProof/>
                <w:vertAlign w:val="subscript"/>
                <w:lang w:val="en-US"/>
              </w:rPr>
              <w:t>f</w:t>
            </w:r>
            <w:r>
              <w:rPr>
                <w:noProof/>
                <w:lang w:val="en-US"/>
              </w:rPr>
              <w:t>H° (kJ.mol</w:t>
            </w:r>
            <w:r w:rsidRPr="00B7215B">
              <w:rPr>
                <w:noProof/>
                <w:vertAlign w:val="superscript"/>
                <w:lang w:val="en-US"/>
              </w:rPr>
              <w:t>-1</w:t>
            </w:r>
            <w:r>
              <w:rPr>
                <w:noProof/>
                <w:lang w:val="en-US"/>
              </w:rPr>
              <w:t>)</w:t>
            </w:r>
          </w:p>
        </w:tc>
        <w:tc>
          <w:tcPr>
            <w:tcW w:w="2728" w:type="dxa"/>
          </w:tcPr>
          <w:p w14:paraId="752CE498" w14:textId="77777777" w:rsidR="004C7F8E" w:rsidRDefault="004C7F8E" w:rsidP="00580F2B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S</w:t>
            </w:r>
            <w:r w:rsidRPr="00B7215B">
              <w:rPr>
                <w:noProof/>
                <w:vertAlign w:val="subscript"/>
                <w:lang w:val="en-US"/>
              </w:rPr>
              <w:t>m</w:t>
            </w:r>
            <w:r w:rsidRPr="00B7215B">
              <w:rPr>
                <w:noProof/>
                <w:vertAlign w:val="superscript"/>
                <w:lang w:val="en-US"/>
              </w:rPr>
              <w:t xml:space="preserve">° </w:t>
            </w:r>
            <w:r>
              <w:rPr>
                <w:noProof/>
                <w:lang w:val="en-US"/>
              </w:rPr>
              <w:t>(J.K</w:t>
            </w:r>
            <w:r w:rsidRPr="00B7215B">
              <w:rPr>
                <w:noProof/>
                <w:vertAlign w:val="superscript"/>
                <w:lang w:val="en-US"/>
              </w:rPr>
              <w:t>-1</w:t>
            </w:r>
            <w:r>
              <w:rPr>
                <w:noProof/>
                <w:lang w:val="en-US"/>
              </w:rPr>
              <w:t>.mol</w:t>
            </w:r>
            <w:r w:rsidRPr="00B7215B">
              <w:rPr>
                <w:noProof/>
                <w:vertAlign w:val="superscript"/>
                <w:lang w:val="en-US"/>
              </w:rPr>
              <w:t>-1</w:t>
            </w:r>
            <w:r>
              <w:rPr>
                <w:noProof/>
                <w:lang w:val="en-US"/>
              </w:rPr>
              <w:t>)</w:t>
            </w:r>
          </w:p>
        </w:tc>
      </w:tr>
      <w:tr w:rsidR="004C7F8E" w14:paraId="53AD21B4" w14:textId="77777777" w:rsidTr="00580F2B">
        <w:tc>
          <w:tcPr>
            <w:tcW w:w="2728" w:type="dxa"/>
          </w:tcPr>
          <w:p w14:paraId="042B7329" w14:textId="77777777" w:rsidR="004C7F8E" w:rsidRDefault="004C7F8E" w:rsidP="00580F2B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Ca</w:t>
            </w:r>
            <w:r w:rsidRPr="00B7215B">
              <w:rPr>
                <w:noProof/>
                <w:vertAlign w:val="superscript"/>
                <w:lang w:val="en-US"/>
              </w:rPr>
              <w:t>2+</w:t>
            </w:r>
            <w:r>
              <w:rPr>
                <w:noProof/>
                <w:lang w:val="en-US"/>
              </w:rPr>
              <w:t xml:space="preserve"> (aq)</w:t>
            </w:r>
          </w:p>
        </w:tc>
        <w:tc>
          <w:tcPr>
            <w:tcW w:w="2728" w:type="dxa"/>
          </w:tcPr>
          <w:p w14:paraId="11EDAE49" w14:textId="77777777" w:rsidR="004C7F8E" w:rsidRDefault="004C7F8E" w:rsidP="00580F2B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- 543</w:t>
            </w:r>
          </w:p>
        </w:tc>
        <w:tc>
          <w:tcPr>
            <w:tcW w:w="2728" w:type="dxa"/>
          </w:tcPr>
          <w:p w14:paraId="6643D772" w14:textId="77777777" w:rsidR="004C7F8E" w:rsidRDefault="004C7F8E" w:rsidP="00580F2B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- 53</w:t>
            </w:r>
          </w:p>
        </w:tc>
      </w:tr>
      <w:tr w:rsidR="004C7F8E" w14:paraId="2B012743" w14:textId="77777777" w:rsidTr="00580F2B">
        <w:tc>
          <w:tcPr>
            <w:tcW w:w="2728" w:type="dxa"/>
          </w:tcPr>
          <w:p w14:paraId="33F2E8CF" w14:textId="77777777" w:rsidR="004C7F8E" w:rsidRDefault="004C7F8E" w:rsidP="00580F2B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CaCO</w:t>
            </w:r>
            <w:r w:rsidRPr="00B7215B">
              <w:rPr>
                <w:noProof/>
                <w:vertAlign w:val="subscript"/>
                <w:lang w:val="en-US"/>
              </w:rPr>
              <w:t>3</w:t>
            </w:r>
            <w:r>
              <w:rPr>
                <w:noProof/>
                <w:lang w:val="en-US"/>
              </w:rPr>
              <w:t xml:space="preserve"> (s) (calcite)</w:t>
            </w:r>
          </w:p>
        </w:tc>
        <w:tc>
          <w:tcPr>
            <w:tcW w:w="2728" w:type="dxa"/>
          </w:tcPr>
          <w:p w14:paraId="08DA0EB1" w14:textId="77777777" w:rsidR="004C7F8E" w:rsidRDefault="004C7F8E" w:rsidP="00580F2B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- 1207</w:t>
            </w:r>
          </w:p>
        </w:tc>
        <w:tc>
          <w:tcPr>
            <w:tcW w:w="2728" w:type="dxa"/>
          </w:tcPr>
          <w:p w14:paraId="30724656" w14:textId="77777777" w:rsidR="004C7F8E" w:rsidRDefault="004C7F8E" w:rsidP="00580F2B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93</w:t>
            </w:r>
          </w:p>
        </w:tc>
      </w:tr>
      <w:tr w:rsidR="004C7F8E" w14:paraId="47B30606" w14:textId="77777777" w:rsidTr="00580F2B">
        <w:tc>
          <w:tcPr>
            <w:tcW w:w="2728" w:type="dxa"/>
          </w:tcPr>
          <w:p w14:paraId="664BFCE5" w14:textId="77777777" w:rsidR="004C7F8E" w:rsidRDefault="004C7F8E" w:rsidP="00580F2B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CO</w:t>
            </w:r>
            <w:r w:rsidRPr="00B7215B">
              <w:rPr>
                <w:noProof/>
                <w:vertAlign w:val="subscript"/>
                <w:lang w:val="en-US"/>
              </w:rPr>
              <w:t>3</w:t>
            </w:r>
            <w:r w:rsidRPr="00B7215B">
              <w:rPr>
                <w:noProof/>
                <w:vertAlign w:val="superscript"/>
                <w:lang w:val="en-US"/>
              </w:rPr>
              <w:t>2-</w:t>
            </w:r>
            <w:r>
              <w:rPr>
                <w:noProof/>
                <w:lang w:val="en-US"/>
              </w:rPr>
              <w:t xml:space="preserve"> (aq)</w:t>
            </w:r>
          </w:p>
        </w:tc>
        <w:tc>
          <w:tcPr>
            <w:tcW w:w="2728" w:type="dxa"/>
          </w:tcPr>
          <w:p w14:paraId="0C31C8F1" w14:textId="77777777" w:rsidR="004C7F8E" w:rsidRDefault="004C7F8E" w:rsidP="00580F2B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- 677</w:t>
            </w:r>
          </w:p>
        </w:tc>
        <w:tc>
          <w:tcPr>
            <w:tcW w:w="2728" w:type="dxa"/>
          </w:tcPr>
          <w:p w14:paraId="6CF680AB" w14:textId="77777777" w:rsidR="004C7F8E" w:rsidRDefault="004C7F8E" w:rsidP="00580F2B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- 57</w:t>
            </w:r>
          </w:p>
        </w:tc>
      </w:tr>
    </w:tbl>
    <w:p w14:paraId="30B4BE0D" w14:textId="77777777" w:rsidR="004C7F8E" w:rsidRDefault="004C7F8E" w:rsidP="004C7F8E">
      <w:pPr>
        <w:jc w:val="both"/>
        <w:rPr>
          <w:rFonts w:cs="Arial"/>
        </w:rPr>
      </w:pPr>
    </w:p>
    <w:p w14:paraId="20EBCCF2" w14:textId="77777777" w:rsidR="004C7F8E" w:rsidRPr="00887B07" w:rsidRDefault="004C7F8E" w:rsidP="004C7F8E">
      <w:pPr>
        <w:jc w:val="both"/>
      </w:pPr>
      <w:r w:rsidRPr="00FB0061">
        <w:rPr>
          <w:rFonts w:cs="Arial"/>
        </w:rPr>
        <w:t xml:space="preserve">Approximations numériques : </w:t>
      </w:r>
      <w:r w:rsidRPr="00FB0061">
        <w:rPr>
          <w:rFonts w:cs="Arial"/>
          <w:position w:val="-22"/>
        </w:rPr>
        <w:object w:dxaOrig="860" w:dyaOrig="580" w14:anchorId="75B003D2">
          <v:shape id="_x0000_i1044" type="#_x0000_t75" style="width:43.5pt;height:29.25pt" o:ole="">
            <v:imagedata r:id="rId17" o:title=""/>
          </v:shape>
          <o:OLEObject Type="Embed" ProgID="Equation.3" ShapeID="_x0000_i1044" DrawAspect="Content" ObjectID="_1737961084" r:id="rId18"/>
        </w:object>
      </w:r>
      <w:r w:rsidRPr="00FB0061">
        <w:rPr>
          <w:rFonts w:cs="Arial"/>
        </w:rPr>
        <w:tab/>
      </w:r>
      <w:r w:rsidRPr="00FB0061">
        <w:rPr>
          <w:rFonts w:cs="Arial"/>
          <w:position w:val="-22"/>
        </w:rPr>
        <w:object w:dxaOrig="780" w:dyaOrig="580" w14:anchorId="7C8F7C9B">
          <v:shape id="_x0000_i1045" type="#_x0000_t75" style="width:39.75pt;height:29.25pt" o:ole="">
            <v:imagedata r:id="rId19" o:title=""/>
          </v:shape>
          <o:OLEObject Type="Embed" ProgID="Equation.3" ShapeID="_x0000_i1045" DrawAspect="Content" ObjectID="_1737961085" r:id="rId20"/>
        </w:object>
      </w:r>
      <w:r w:rsidRPr="00887B07">
        <w:t xml:space="preserve"> </w:t>
      </w:r>
    </w:p>
    <w:p w14:paraId="03F51599" w14:textId="6FF5529F" w:rsidR="004C7F8E" w:rsidRPr="00CD11AC" w:rsidRDefault="00C15C6B" w:rsidP="001A6D0C">
      <w:pPr>
        <w:spacing w:after="120"/>
        <w:rPr>
          <w:rFonts w:ascii="Century" w:hAnsi="Century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1" layoutInCell="1" allowOverlap="1" wp14:anchorId="316F9AAB" wp14:editId="218D642B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753100" cy="3808730"/>
            <wp:effectExtent l="0" t="0" r="12700" b="1270"/>
            <wp:wrapTopAndBottom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08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7F8E" w:rsidRPr="00CD11AC" w:rsidSect="00272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38E7A" w14:textId="77777777" w:rsidR="00F3120B" w:rsidRDefault="00F3120B" w:rsidP="00C124B7">
      <w:pPr>
        <w:spacing w:after="0" w:line="240" w:lineRule="auto"/>
      </w:pPr>
      <w:r>
        <w:separator/>
      </w:r>
    </w:p>
  </w:endnote>
  <w:endnote w:type="continuationSeparator" w:id="0">
    <w:p w14:paraId="69EF1F6F" w14:textId="77777777" w:rsidR="00F3120B" w:rsidRDefault="00F3120B" w:rsidP="00C12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33F1C" w14:textId="77777777" w:rsidR="00F3120B" w:rsidRDefault="00F3120B" w:rsidP="00C124B7">
      <w:pPr>
        <w:spacing w:after="0" w:line="240" w:lineRule="auto"/>
      </w:pPr>
      <w:r>
        <w:separator/>
      </w:r>
    </w:p>
  </w:footnote>
  <w:footnote w:type="continuationSeparator" w:id="0">
    <w:p w14:paraId="49AC076A" w14:textId="77777777" w:rsidR="00F3120B" w:rsidRDefault="00F3120B" w:rsidP="00C124B7">
      <w:pPr>
        <w:spacing w:after="0" w:line="240" w:lineRule="auto"/>
      </w:pPr>
      <w:r>
        <w:continuationSeparator/>
      </w:r>
    </w:p>
  </w:footnote>
  <w:footnote w:id="1">
    <w:p w14:paraId="3AB494CB" w14:textId="77777777" w:rsidR="00C124B7" w:rsidRDefault="00C124B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124B7">
        <w:t xml:space="preserve">U. B. </w:t>
      </w:r>
      <w:proofErr w:type="spellStart"/>
      <w:r w:rsidRPr="00C124B7">
        <w:t>Demirci</w:t>
      </w:r>
      <w:proofErr w:type="spellEnd"/>
      <w:r w:rsidRPr="00C124B7">
        <w:t xml:space="preserve">, </w:t>
      </w:r>
      <w:r w:rsidRPr="00C124B7">
        <w:rPr>
          <w:i/>
        </w:rPr>
        <w:t>Actualité Chimique</w:t>
      </w:r>
      <w:r w:rsidRPr="00C124B7">
        <w:t xml:space="preserve"> </w:t>
      </w:r>
      <w:r w:rsidRPr="00C124B7">
        <w:rPr>
          <w:b/>
        </w:rPr>
        <w:t>2008</w:t>
      </w:r>
      <w:r w:rsidRPr="00C124B7">
        <w:t>, 316, 22–27.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7F01"/>
    <w:multiLevelType w:val="hybridMultilevel"/>
    <w:tmpl w:val="1AF69C98"/>
    <w:lvl w:ilvl="0" w:tplc="DB62771C">
      <w:start w:val="1"/>
      <w:numFmt w:val="decimal"/>
      <w:lvlText w:val="%1-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4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sz w:val="24"/>
      </w:r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4281B"/>
    <w:multiLevelType w:val="hybridMultilevel"/>
    <w:tmpl w:val="DB8E87D8"/>
    <w:lvl w:ilvl="0" w:tplc="3320D114">
      <w:start w:val="1"/>
      <w:numFmt w:val="upperRoman"/>
      <w:pStyle w:val="Titre3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1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C0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88B50" w:tentative="1">
      <w:start w:val="1"/>
      <w:numFmt w:val="decimal"/>
      <w:pStyle w:val="Bandeaunongras"/>
      <w:lvlText w:val="%4."/>
      <w:lvlJc w:val="left"/>
      <w:pPr>
        <w:tabs>
          <w:tab w:val="num" w:pos="2880"/>
        </w:tabs>
        <w:ind w:left="2880" w:hanging="360"/>
      </w:pPr>
    </w:lvl>
    <w:lvl w:ilvl="4" w:tplc="0696E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C635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6C7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AE3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80B2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3006328">
    <w:abstractNumId w:val="1"/>
  </w:num>
  <w:num w:numId="2" w16cid:durableId="12269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D0A"/>
    <w:rsid w:val="001A6D0C"/>
    <w:rsid w:val="00272474"/>
    <w:rsid w:val="00475CEF"/>
    <w:rsid w:val="004C7F8E"/>
    <w:rsid w:val="005774A2"/>
    <w:rsid w:val="00725D0A"/>
    <w:rsid w:val="00C124B7"/>
    <w:rsid w:val="00C15C6B"/>
    <w:rsid w:val="00CA6F11"/>
    <w:rsid w:val="00CA7E84"/>
    <w:rsid w:val="00CD11AC"/>
    <w:rsid w:val="00EB7EFE"/>
    <w:rsid w:val="00EE77DE"/>
    <w:rsid w:val="00F3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B124"/>
  <w15:docId w15:val="{8B27CDF4-506F-46B6-9A31-65A7453D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474"/>
  </w:style>
  <w:style w:type="paragraph" w:styleId="Titre3">
    <w:name w:val="heading 3"/>
    <w:basedOn w:val="Normal"/>
    <w:next w:val="Normal"/>
    <w:link w:val="Titre3Car"/>
    <w:qFormat/>
    <w:rsid w:val="004C7F8E"/>
    <w:pPr>
      <w:keepNext/>
      <w:numPr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7F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D0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D11AC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24B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24B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124B7"/>
    <w:rPr>
      <w:vertAlign w:val="superscript"/>
    </w:rPr>
  </w:style>
  <w:style w:type="table" w:styleId="Grilledutableau">
    <w:name w:val="Table Grid"/>
    <w:basedOn w:val="TableauNormal"/>
    <w:uiPriority w:val="59"/>
    <w:rsid w:val="00CA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4C7F8E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Corpsdetexte2">
    <w:name w:val="Body Text 2"/>
    <w:basedOn w:val="Normal"/>
    <w:link w:val="Corpsdetexte2Car"/>
    <w:rsid w:val="004C7F8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4C7F8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Bandeaunongras">
    <w:name w:val="Bandeau non gras"/>
    <w:basedOn w:val="Titre4"/>
    <w:rsid w:val="004C7F8E"/>
    <w:pPr>
      <w:keepLines w:val="0"/>
      <w:widowControl w:val="0"/>
      <w:numPr>
        <w:ilvl w:val="3"/>
        <w:numId w:val="1"/>
      </w:numPr>
      <w:suppressAutoHyphens/>
      <w:spacing w:before="0" w:line="200" w:lineRule="atLeast"/>
      <w:jc w:val="center"/>
    </w:pPr>
    <w:rPr>
      <w:rFonts w:ascii="Times New Roman" w:eastAsia="Times New Roman" w:hAnsi="Times New Roman" w:cs="Times New Roman"/>
      <w:i w:val="0"/>
      <w:iCs w:val="0"/>
      <w:color w:val="auto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4C7F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aragraphedeliste">
    <w:name w:val="List Paragraph"/>
    <w:basedOn w:val="Normal"/>
    <w:uiPriority w:val="34"/>
    <w:qFormat/>
    <w:rsid w:val="004C7F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FFB84-7953-480F-93E4-79CD950E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2507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Martineau</dc:creator>
  <cp:lastModifiedBy>Daniel Charrier</cp:lastModifiedBy>
  <cp:revision>2</cp:revision>
  <dcterms:created xsi:type="dcterms:W3CDTF">2023-02-15T09:12:00Z</dcterms:created>
  <dcterms:modified xsi:type="dcterms:W3CDTF">2023-02-15T09:12:00Z</dcterms:modified>
</cp:coreProperties>
</file>