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D3BC85" w14:textId="1BB21CFE" w:rsidR="00D848D1" w:rsidRDefault="00276D45">
      <w:r>
        <w:t>Intro cours fin II</w:t>
      </w:r>
    </w:p>
    <w:p w14:paraId="27937EEB" w14:textId="77777777" w:rsidR="00276D45" w:rsidRDefault="00276D45" w:rsidP="00276D45">
      <w:pPr>
        <w:pStyle w:val="CorpsA"/>
        <w:spacing w:line="360" w:lineRule="auto"/>
        <w:jc w:val="both"/>
        <w:rPr>
          <w:rStyle w:val="Aucun"/>
          <w:rFonts w:asciiTheme="minorHAnsi" w:eastAsia="Times New Roman" w:hAnsiTheme="minorHAnsi" w:cs="Times New Roman"/>
        </w:rPr>
      </w:pPr>
    </w:p>
    <w:p w14:paraId="6078C527"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p>
    <w:p w14:paraId="14304376"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r w:rsidRPr="007C5566">
        <w:rPr>
          <w:rStyle w:val="Aucun"/>
          <w:rFonts w:asciiTheme="minorHAnsi" w:hAnsiTheme="minorHAnsi"/>
          <w:b/>
          <w:bCs/>
        </w:rPr>
        <w:t>2) Filiation et tradition</w:t>
      </w:r>
      <w:r>
        <w:rPr>
          <w:rStyle w:val="Aucun"/>
          <w:rFonts w:asciiTheme="minorHAnsi" w:hAnsiTheme="minorHAnsi"/>
          <w:b/>
          <w:bCs/>
        </w:rPr>
        <w:t xml:space="preserve"> </w:t>
      </w:r>
      <w:r w:rsidRPr="007C5566">
        <w:rPr>
          <w:rStyle w:val="Aucun"/>
          <w:rFonts w:asciiTheme="minorHAnsi" w:hAnsiTheme="minorHAnsi"/>
          <w:b/>
          <w:bCs/>
        </w:rPr>
        <w:t>: le rapport aux maîtres</w:t>
      </w:r>
    </w:p>
    <w:p w14:paraId="1A98B4A0" w14:textId="77777777" w:rsidR="00276D45" w:rsidRDefault="00276D45" w:rsidP="00276D45">
      <w:pPr>
        <w:pStyle w:val="CorpsA"/>
        <w:spacing w:line="360" w:lineRule="auto"/>
        <w:jc w:val="both"/>
        <w:rPr>
          <w:rStyle w:val="Aucun"/>
          <w:rFonts w:asciiTheme="minorHAnsi" w:hAnsiTheme="minorHAnsi"/>
          <w:color w:val="auto"/>
        </w:rPr>
      </w:pPr>
      <w:r w:rsidRPr="007C5566">
        <w:rPr>
          <w:rStyle w:val="Aucun"/>
          <w:rFonts w:asciiTheme="minorHAnsi" w:eastAsia="Times New Roman" w:hAnsiTheme="minorHAnsi" w:cs="Times New Roman"/>
        </w:rPr>
        <w:tab/>
        <w:t>La cr</w:t>
      </w:r>
      <w:r w:rsidRPr="007C5566">
        <w:rPr>
          <w:rStyle w:val="Aucun"/>
          <w:rFonts w:asciiTheme="minorHAnsi" w:hAnsiTheme="minorHAnsi"/>
        </w:rPr>
        <w:t>éation peut signifier créer de toutes pi</w:t>
      </w:r>
      <w:r w:rsidRPr="007C5566">
        <w:rPr>
          <w:rStyle w:val="Aucun"/>
          <w:rFonts w:asciiTheme="minorHAnsi" w:hAnsiTheme="minorHAnsi"/>
          <w:lang w:val="it-IT"/>
        </w:rPr>
        <w:t>è</w:t>
      </w:r>
      <w:r w:rsidRPr="007C5566">
        <w:rPr>
          <w:rStyle w:val="Aucun"/>
          <w:rFonts w:asciiTheme="minorHAnsi" w:hAnsiTheme="minorHAnsi"/>
        </w:rPr>
        <w:t xml:space="preserve">ces, mais son étymologie nous met sur une autre piste. </w:t>
      </w:r>
      <w:proofErr w:type="spellStart"/>
      <w:r w:rsidRPr="007C5566">
        <w:rPr>
          <w:rStyle w:val="Aucun"/>
          <w:rFonts w:asciiTheme="minorHAnsi" w:hAnsiTheme="minorHAnsi"/>
          <w:i/>
          <w:iCs/>
        </w:rPr>
        <w:t>Crescere</w:t>
      </w:r>
      <w:proofErr w:type="spellEnd"/>
      <w:r w:rsidRPr="007C5566">
        <w:rPr>
          <w:rStyle w:val="Aucun"/>
          <w:rFonts w:asciiTheme="minorHAnsi" w:hAnsiTheme="minorHAnsi"/>
        </w:rPr>
        <w:t xml:space="preserve">, c'est faire pousser. </w:t>
      </w:r>
      <w:r w:rsidRPr="00D14465">
        <w:rPr>
          <w:rStyle w:val="Aucun"/>
          <w:rFonts w:asciiTheme="minorHAnsi" w:hAnsiTheme="minorHAnsi"/>
          <w:color w:val="auto"/>
        </w:rPr>
        <w:t xml:space="preserve">Il s'agirait donc d'augmenter, de faire croître, de </w:t>
      </w:r>
      <w:proofErr w:type="spellStart"/>
      <w:r w:rsidRPr="00D14465">
        <w:rPr>
          <w:rStyle w:val="Aucun"/>
          <w:rFonts w:asciiTheme="minorHAnsi" w:hAnsiTheme="minorHAnsi"/>
          <w:color w:val="auto"/>
        </w:rPr>
        <w:t>dévelop</w:t>
      </w:r>
      <w:proofErr w:type="spellEnd"/>
      <w:r w:rsidRPr="00D14465">
        <w:rPr>
          <w:rStyle w:val="Aucun"/>
          <w:rFonts w:asciiTheme="minorHAnsi" w:hAnsiTheme="minorHAnsi"/>
          <w:color w:val="auto"/>
          <w:lang w:val="it-IT"/>
        </w:rPr>
        <w:t>per</w:t>
      </w:r>
      <w:r w:rsidRPr="00D14465">
        <w:rPr>
          <w:rStyle w:val="Aucun"/>
          <w:rFonts w:asciiTheme="minorHAnsi" w:hAnsiTheme="minorHAnsi"/>
          <w:color w:val="auto"/>
        </w:rPr>
        <w:t xml:space="preserve">, bref de prolonger une tradition en s'inscrivant dans une </w:t>
      </w:r>
      <w:r w:rsidRPr="00C84462">
        <w:rPr>
          <w:rStyle w:val="Aucun"/>
          <w:rFonts w:asciiTheme="minorHAnsi" w:hAnsiTheme="minorHAnsi"/>
          <w:b/>
          <w:bCs/>
          <w:color w:val="auto"/>
        </w:rPr>
        <w:t xml:space="preserve">filiation. Cette conception de la création comme régie par </w:t>
      </w:r>
      <w:r w:rsidRPr="00C84462">
        <w:rPr>
          <w:rStyle w:val="Aucun"/>
          <w:rFonts w:asciiTheme="minorHAnsi" w:hAnsiTheme="minorHAnsi"/>
          <w:b/>
          <w:bCs/>
          <w:color w:val="auto"/>
          <w:lang w:val="it-IT"/>
        </w:rPr>
        <w:t>l'</w:t>
      </w:r>
      <w:proofErr w:type="spellStart"/>
      <w:r w:rsidRPr="00C84462">
        <w:rPr>
          <w:rStyle w:val="Aucun"/>
          <w:rFonts w:asciiTheme="minorHAnsi" w:hAnsiTheme="minorHAnsi"/>
          <w:b/>
          <w:bCs/>
          <w:color w:val="auto"/>
          <w:lang w:val="it-IT"/>
        </w:rPr>
        <w:t>innutrition</w:t>
      </w:r>
      <w:proofErr w:type="spellEnd"/>
      <w:r w:rsidRPr="00C84462">
        <w:rPr>
          <w:rStyle w:val="Aucun"/>
          <w:rFonts w:asciiTheme="minorHAnsi" w:hAnsiTheme="minorHAnsi"/>
          <w:b/>
          <w:bCs/>
          <w:color w:val="auto"/>
        </w:rPr>
        <w:t xml:space="preserve"> est d'ailleurs celle qui a prévalu pendant des siècles</w:t>
      </w:r>
      <w:r w:rsidRPr="00D14465">
        <w:rPr>
          <w:rStyle w:val="Aucun"/>
          <w:rFonts w:asciiTheme="minorHAnsi" w:hAnsiTheme="minorHAnsi"/>
          <w:color w:val="auto"/>
        </w:rPr>
        <w:t xml:space="preserve">. </w:t>
      </w:r>
    </w:p>
    <w:p w14:paraId="6F561EC9" w14:textId="77777777" w:rsidR="00276D45" w:rsidRPr="003256B8" w:rsidRDefault="00276D45" w:rsidP="00276D45">
      <w:pPr>
        <w:pStyle w:val="CorpsA"/>
        <w:spacing w:line="360" w:lineRule="auto"/>
        <w:jc w:val="both"/>
        <w:rPr>
          <w:rStyle w:val="Aucun"/>
          <w:rFonts w:asciiTheme="minorHAnsi" w:hAnsiTheme="minorHAnsi"/>
          <w:b/>
          <w:bCs/>
          <w:color w:val="auto"/>
        </w:rPr>
      </w:pPr>
      <w:r>
        <w:rPr>
          <w:rStyle w:val="Aucun"/>
          <w:rFonts w:asciiTheme="minorHAnsi" w:hAnsiTheme="minorHAnsi"/>
          <w:b/>
          <w:bCs/>
          <w:color w:val="auto"/>
          <w:u w:val="single"/>
        </w:rPr>
        <w:t>Définition de l’innutrition </w:t>
      </w:r>
      <w:r>
        <w:rPr>
          <w:rStyle w:val="Aucun"/>
          <w:rFonts w:asciiTheme="minorHAnsi" w:hAnsiTheme="minorHAnsi"/>
          <w:b/>
          <w:bCs/>
          <w:color w:val="auto"/>
        </w:rPr>
        <w:t xml:space="preserve">: </w:t>
      </w:r>
      <w:r>
        <w:rPr>
          <w:rStyle w:val="Accentuation"/>
          <w:b/>
          <w:bCs/>
          <w:i w:val="0"/>
          <w:iCs w:val="0"/>
          <w:color w:val="767676"/>
          <w:sz w:val="21"/>
          <w:szCs w:val="21"/>
        </w:rPr>
        <w:t>Inspiration inconsciente d'un artiste qui puise dans la culture dont il s'est imprégné</w:t>
      </w:r>
      <w:r>
        <w:rPr>
          <w:rStyle w:val="apple-converted-space"/>
          <w:color w:val="6C6C6C"/>
          <w:sz w:val="21"/>
          <w:szCs w:val="21"/>
          <w:shd w:val="clear" w:color="auto" w:fill="FFFFFF"/>
        </w:rPr>
        <w:t> </w:t>
      </w:r>
      <w:r>
        <w:rPr>
          <w:color w:val="6C6C6C"/>
          <w:sz w:val="21"/>
          <w:szCs w:val="21"/>
          <w:shd w:val="clear" w:color="auto" w:fill="FFFFFF"/>
        </w:rPr>
        <w:t>(Emile Faguet, 1898).</w:t>
      </w:r>
    </w:p>
    <w:p w14:paraId="55E7FBDB"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r w:rsidRPr="007C5566">
        <w:rPr>
          <w:rStyle w:val="Aucun"/>
          <w:rFonts w:asciiTheme="minorHAnsi" w:hAnsiTheme="minorHAnsi"/>
        </w:rPr>
        <w:t xml:space="preserve">Cela est particulièrement sensible avec le courant du </w:t>
      </w:r>
      <w:r w:rsidRPr="007C5566">
        <w:rPr>
          <w:rStyle w:val="Aucun"/>
          <w:rFonts w:asciiTheme="minorHAnsi" w:hAnsiTheme="minorHAnsi"/>
          <w:b/>
          <w:bCs/>
        </w:rPr>
        <w:t>classicisme</w:t>
      </w:r>
      <w:r w:rsidRPr="007C5566">
        <w:rPr>
          <w:rStyle w:val="Aucun"/>
          <w:rFonts w:asciiTheme="minorHAnsi" w:hAnsiTheme="minorHAnsi"/>
        </w:rPr>
        <w:t xml:space="preserve">, </w:t>
      </w:r>
      <w:r>
        <w:rPr>
          <w:rStyle w:val="Aucun"/>
          <w:rFonts w:asciiTheme="minorHAnsi" w:hAnsiTheme="minorHAnsi"/>
        </w:rPr>
        <w:t xml:space="preserve">qui applique sur </w:t>
      </w:r>
      <w:r w:rsidRPr="007C5566">
        <w:rPr>
          <w:rStyle w:val="Aucun"/>
          <w:rFonts w:asciiTheme="minorHAnsi" w:hAnsiTheme="minorHAnsi"/>
        </w:rPr>
        <w:t xml:space="preserve">les siècles une grille de lecture régie par la </w:t>
      </w:r>
      <w:r w:rsidRPr="007C5566">
        <w:rPr>
          <w:rStyle w:val="Aucun"/>
          <w:rFonts w:asciiTheme="minorHAnsi" w:hAnsiTheme="minorHAnsi"/>
          <w:b/>
          <w:bCs/>
        </w:rPr>
        <w:t>continuité</w:t>
      </w:r>
      <w:r w:rsidRPr="007C5566">
        <w:rPr>
          <w:rStyle w:val="Aucun"/>
          <w:rFonts w:asciiTheme="minorHAnsi" w:hAnsiTheme="minorHAnsi"/>
        </w:rPr>
        <w:t xml:space="preserve">. Ainsi, les Classiques du </w:t>
      </w:r>
      <w:r>
        <w:rPr>
          <w:rStyle w:val="Aucun"/>
          <w:rFonts w:asciiTheme="minorHAnsi" w:hAnsiTheme="minorHAnsi"/>
        </w:rPr>
        <w:t>XVII</w:t>
      </w:r>
      <w:r w:rsidRPr="007C5566">
        <w:rPr>
          <w:rStyle w:val="Aucun"/>
          <w:rFonts w:asciiTheme="minorHAnsi" w:hAnsiTheme="minorHAnsi"/>
        </w:rPr>
        <w:t xml:space="preserve">e </w:t>
      </w:r>
      <w:proofErr w:type="spellStart"/>
      <w:proofErr w:type="gramStart"/>
      <w:r w:rsidRPr="007C5566">
        <w:rPr>
          <w:rStyle w:val="Aucun"/>
          <w:rFonts w:asciiTheme="minorHAnsi" w:hAnsiTheme="minorHAnsi"/>
        </w:rPr>
        <w:t>s.français</w:t>
      </w:r>
      <w:proofErr w:type="spellEnd"/>
      <w:proofErr w:type="gramEnd"/>
      <w:r w:rsidRPr="007C5566">
        <w:rPr>
          <w:rStyle w:val="Aucun"/>
          <w:rFonts w:asciiTheme="minorHAnsi" w:hAnsiTheme="minorHAnsi"/>
        </w:rPr>
        <w:t xml:space="preserve"> se </w:t>
      </w:r>
      <w:proofErr w:type="gramStart"/>
      <w:r w:rsidRPr="007C5566">
        <w:rPr>
          <w:rStyle w:val="Aucun"/>
          <w:rFonts w:asciiTheme="minorHAnsi" w:hAnsiTheme="minorHAnsi"/>
        </w:rPr>
        <w:t>revendiquaient</w:t>
      </w:r>
      <w:proofErr w:type="gramEnd"/>
      <w:r w:rsidRPr="007C5566">
        <w:rPr>
          <w:rStyle w:val="Aucun"/>
          <w:rFonts w:asciiTheme="minorHAnsi" w:hAnsiTheme="minorHAnsi"/>
        </w:rPr>
        <w:t xml:space="preserve"> des Classiques de l'Antiquité, au sein desquels on retrouve ce même principe de filiation puisque les Romains reprennent aux Grecs leurs mythes et trouvent donc chez leurs prédécesseurs la matière de leur inspiration. </w:t>
      </w:r>
    </w:p>
    <w:p w14:paraId="3FB5DD8C" w14:textId="77777777" w:rsidR="00276D45" w:rsidRPr="00D14465" w:rsidRDefault="00276D45" w:rsidP="00276D45">
      <w:pPr>
        <w:pStyle w:val="CorpsA"/>
        <w:spacing w:line="360" w:lineRule="auto"/>
        <w:jc w:val="both"/>
        <w:rPr>
          <w:rStyle w:val="Aucun"/>
          <w:rFonts w:asciiTheme="minorHAnsi" w:eastAsia="Times New Roman" w:hAnsiTheme="minorHAnsi" w:cs="Times New Roman"/>
          <w:color w:val="EE0000"/>
        </w:rPr>
      </w:pPr>
      <w:r w:rsidRPr="007C5566">
        <w:rPr>
          <w:rStyle w:val="Aucun"/>
          <w:rFonts w:asciiTheme="minorHAnsi" w:eastAsia="Times New Roman" w:hAnsiTheme="minorHAnsi" w:cs="Times New Roman"/>
        </w:rPr>
        <w:tab/>
        <w:t>Toutefois le XVIIe s. conna</w:t>
      </w:r>
      <w:r w:rsidRPr="007C5566">
        <w:rPr>
          <w:rStyle w:val="Aucun"/>
          <w:rFonts w:asciiTheme="minorHAnsi" w:hAnsiTheme="minorHAnsi"/>
        </w:rPr>
        <w:t xml:space="preserve">ît déjà un débat autour de la tradition. </w:t>
      </w:r>
      <w:r w:rsidRPr="00D14465">
        <w:rPr>
          <w:rStyle w:val="Aucun"/>
          <w:rFonts w:asciiTheme="minorHAnsi" w:hAnsiTheme="minorHAnsi"/>
          <w:color w:val="auto"/>
        </w:rPr>
        <w:t xml:space="preserve">La </w:t>
      </w:r>
      <w:r w:rsidRPr="00D14465">
        <w:rPr>
          <w:rStyle w:val="Aucun"/>
          <w:rFonts w:asciiTheme="minorHAnsi" w:hAnsiTheme="minorHAnsi"/>
          <w:b/>
          <w:bCs/>
          <w:color w:val="auto"/>
        </w:rPr>
        <w:t xml:space="preserve">querelle des Anciens et des Modernes </w:t>
      </w:r>
      <w:r w:rsidRPr="00D14465">
        <w:rPr>
          <w:rStyle w:val="Aucun"/>
          <w:rFonts w:asciiTheme="minorHAnsi" w:hAnsiTheme="minorHAnsi"/>
          <w:color w:val="auto"/>
        </w:rPr>
        <w:t>oppose l'idéal classique (défendu notamment par Boileau) consistant à prendre mod</w:t>
      </w:r>
      <w:r w:rsidRPr="00D14465">
        <w:rPr>
          <w:rStyle w:val="Aucun"/>
          <w:rFonts w:asciiTheme="minorHAnsi" w:hAnsiTheme="minorHAnsi"/>
          <w:color w:val="auto"/>
          <w:lang w:val="it-IT"/>
        </w:rPr>
        <w:t>è</w:t>
      </w:r>
      <w:r w:rsidRPr="00D14465">
        <w:rPr>
          <w:rStyle w:val="Aucun"/>
          <w:rFonts w:asciiTheme="minorHAnsi" w:hAnsiTheme="minorHAnsi"/>
          <w:color w:val="auto"/>
        </w:rPr>
        <w:t xml:space="preserve">le sur des auteurs antiques indépassables, la nécessité opposée de créer une nouvelle esthétique (défendue notamment par Perrault), liée à une époque recelant sa propre perfection (le siècle de Louis XIV). </w:t>
      </w:r>
      <w:r w:rsidRPr="007C5566">
        <w:rPr>
          <w:rStyle w:val="Aucun"/>
          <w:rFonts w:asciiTheme="minorHAnsi" w:hAnsiTheme="minorHAnsi"/>
        </w:rPr>
        <w:t xml:space="preserve">La fidélité excessive à la tradition relèverait donc d'un </w:t>
      </w:r>
      <w:r w:rsidRPr="007C5566">
        <w:rPr>
          <w:rStyle w:val="Aucun"/>
          <w:rFonts w:asciiTheme="minorHAnsi" w:hAnsiTheme="minorHAnsi"/>
          <w:b/>
          <w:bCs/>
        </w:rPr>
        <w:t>carcan</w:t>
      </w:r>
      <w:r w:rsidRPr="007C5566">
        <w:rPr>
          <w:rStyle w:val="Aucun"/>
          <w:rFonts w:asciiTheme="minorHAnsi" w:hAnsiTheme="minorHAnsi"/>
        </w:rPr>
        <w:t xml:space="preserve"> que se sont employés à critiquer les auteurs dans les siècles qui ont suivi, en particulier les Romantiques s'affirmant contre les partisans du </w:t>
      </w:r>
      <w:r w:rsidRPr="003256B8">
        <w:rPr>
          <w:rStyle w:val="Aucun"/>
          <w:rFonts w:asciiTheme="minorHAnsi" w:hAnsiTheme="minorHAnsi"/>
          <w:color w:val="auto"/>
        </w:rPr>
        <w:t xml:space="preserve">classicisme (voir </w:t>
      </w:r>
      <w:r w:rsidRPr="003256B8">
        <w:rPr>
          <w:rStyle w:val="Aucun"/>
          <w:rFonts w:asciiTheme="minorHAnsi" w:hAnsiTheme="minorHAnsi"/>
          <w:i/>
          <w:iCs/>
          <w:color w:val="auto"/>
        </w:rPr>
        <w:t>La Bataille d’Hernani</w:t>
      </w:r>
      <w:r w:rsidRPr="003256B8">
        <w:rPr>
          <w:rStyle w:val="Aucun"/>
          <w:rFonts w:asciiTheme="minorHAnsi" w:hAnsiTheme="minorHAnsi"/>
          <w:color w:val="auto"/>
        </w:rPr>
        <w:t xml:space="preserve">). </w:t>
      </w:r>
      <w:r w:rsidRPr="00D14465">
        <w:rPr>
          <w:rStyle w:val="Aucun"/>
          <w:rFonts w:asciiTheme="minorHAnsi" w:hAnsiTheme="minorHAnsi"/>
          <w:b/>
          <w:bCs/>
          <w:color w:val="auto"/>
        </w:rPr>
        <w:t>Ainsi, un fil de lecture traverse le roman de Zola, selon lequel le nouveau mouvement esthétique qui s'organise autour de Claude se voit freiné par l'influence romantique de laquelle il peine à s'arracher ; en témoigne la coloration allégorique des figures de femmes nues que Claude place au centre des deux grandes toiles décrites par le roman, reproduisant par ailleurs l'environnement de ces femmes de façon réaliste, d'où une discordance</w:t>
      </w:r>
      <w:r>
        <w:rPr>
          <w:rStyle w:val="Aucun"/>
          <w:rFonts w:asciiTheme="minorHAnsi" w:hAnsiTheme="minorHAnsi"/>
          <w:b/>
          <w:bCs/>
          <w:color w:val="auto"/>
        </w:rPr>
        <w:t xml:space="preserve"> entre le motif central et le fond, </w:t>
      </w:r>
      <w:r w:rsidRPr="00D14465">
        <w:rPr>
          <w:rStyle w:val="Aucun"/>
          <w:rFonts w:asciiTheme="minorHAnsi" w:hAnsiTheme="minorHAnsi"/>
          <w:b/>
          <w:bCs/>
          <w:color w:val="auto"/>
        </w:rPr>
        <w:t xml:space="preserve"> créant rire ou malaise, et en tout cas l'impression d'une œuvre inaboutie.</w:t>
      </w:r>
      <w:r w:rsidRPr="00D14465">
        <w:rPr>
          <w:rStyle w:val="Aucun"/>
          <w:rFonts w:asciiTheme="minorHAnsi" w:hAnsiTheme="minorHAnsi"/>
          <w:color w:val="auto"/>
        </w:rPr>
        <w:t xml:space="preserve"> </w:t>
      </w:r>
      <w:r w:rsidRPr="003256B8">
        <w:rPr>
          <w:rStyle w:val="Aucun"/>
          <w:rFonts w:asciiTheme="minorHAnsi" w:hAnsiTheme="minorHAnsi"/>
          <w:color w:val="auto"/>
        </w:rPr>
        <w:t>Claude, devancier qui peine à s’émanciper complètement ? Névrose esthétique ?</w:t>
      </w:r>
    </w:p>
    <w:p w14:paraId="3F01074C"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r w:rsidRPr="00D14465">
        <w:rPr>
          <w:rStyle w:val="Aucun"/>
          <w:rFonts w:asciiTheme="minorHAnsi" w:eastAsia="Times New Roman" w:hAnsiTheme="minorHAnsi" w:cs="Times New Roman"/>
          <w:b/>
          <w:bCs/>
        </w:rPr>
        <w:t>En tout cas, la connaissance de la tradition est n</w:t>
      </w:r>
      <w:r w:rsidRPr="00D14465">
        <w:rPr>
          <w:rStyle w:val="Aucun"/>
          <w:rFonts w:asciiTheme="minorHAnsi" w:hAnsiTheme="minorHAnsi"/>
          <w:b/>
          <w:bCs/>
        </w:rPr>
        <w:t>écessaire, même à qui ambitionne d'instaurer une rupture, et les œuvres du programme rendent toutes hommage à des figures d'autorité inspiratrices</w:t>
      </w:r>
      <w:r>
        <w:rPr>
          <w:rStyle w:val="Aucun"/>
          <w:rFonts w:asciiTheme="minorHAnsi" w:hAnsiTheme="minorHAnsi"/>
          <w:b/>
          <w:bCs/>
        </w:rPr>
        <w:t xml:space="preserve"> </w:t>
      </w:r>
      <w:r w:rsidRPr="007C5566">
        <w:rPr>
          <w:rStyle w:val="Aucun"/>
          <w:rFonts w:asciiTheme="minorHAnsi" w:hAnsiTheme="minorHAnsi"/>
        </w:rPr>
        <w:t xml:space="preserve">: </w:t>
      </w:r>
      <w:r w:rsidRPr="00D91D7F">
        <w:rPr>
          <w:rStyle w:val="Aucun"/>
          <w:rFonts w:asciiTheme="minorHAnsi" w:hAnsiTheme="minorHAnsi"/>
          <w:b/>
          <w:bCs/>
        </w:rPr>
        <w:t>Homère chez Platon, Shakespeare chez Woolf, Hugo, Musset, Delacroix et Courbet chez Zola (</w:t>
      </w:r>
      <w:r>
        <w:rPr>
          <w:rStyle w:val="Aucun"/>
          <w:rFonts w:asciiTheme="minorHAnsi" w:hAnsiTheme="minorHAnsi"/>
          <w:b/>
          <w:bCs/>
          <w:color w:val="auto"/>
        </w:rPr>
        <w:t xml:space="preserve">ce sont les références explicites mais il y a donc des </w:t>
      </w:r>
      <w:r w:rsidRPr="003256B8">
        <w:rPr>
          <w:rStyle w:val="Aucun"/>
          <w:rFonts w:asciiTheme="minorHAnsi" w:hAnsiTheme="minorHAnsi"/>
          <w:b/>
          <w:bCs/>
          <w:color w:val="auto"/>
        </w:rPr>
        <w:lastRenderedPageBreak/>
        <w:t xml:space="preserve">références implicites </w:t>
      </w:r>
      <w:r>
        <w:rPr>
          <w:rStyle w:val="Aucun"/>
          <w:rFonts w:asciiTheme="minorHAnsi" w:hAnsiTheme="minorHAnsi"/>
          <w:b/>
          <w:bCs/>
          <w:color w:val="auto"/>
        </w:rPr>
        <w:t>à ses</w:t>
      </w:r>
      <w:r w:rsidRPr="003256B8">
        <w:rPr>
          <w:rStyle w:val="Aucun"/>
          <w:rFonts w:asciiTheme="minorHAnsi" w:hAnsiTheme="minorHAnsi"/>
          <w:b/>
          <w:bCs/>
          <w:color w:val="auto"/>
        </w:rPr>
        <w:t xml:space="preserve"> contemporains Manet et Cézanne</w:t>
      </w:r>
      <w:r>
        <w:rPr>
          <w:rStyle w:val="Aucun"/>
          <w:rFonts w:asciiTheme="minorHAnsi" w:hAnsiTheme="minorHAnsi"/>
          <w:b/>
          <w:bCs/>
          <w:color w:val="auto"/>
        </w:rPr>
        <w:t xml:space="preserve"> qui proposent une nouvelle esthétique, rompant avec la tradition</w:t>
      </w:r>
      <w:r>
        <w:rPr>
          <w:rStyle w:val="Aucun"/>
          <w:rFonts w:asciiTheme="minorHAnsi" w:hAnsiTheme="minorHAnsi"/>
        </w:rPr>
        <w:t>)</w:t>
      </w:r>
      <w:r w:rsidRPr="007C5566">
        <w:rPr>
          <w:rStyle w:val="Aucun"/>
          <w:rFonts w:asciiTheme="minorHAnsi" w:hAnsiTheme="minorHAnsi"/>
        </w:rPr>
        <w:t xml:space="preserve">. Le respect dû aux Maîtres du passé se trouve aussi cristallisé dans le personnage fictif entré à l'Institut, </w:t>
      </w:r>
      <w:proofErr w:type="spellStart"/>
      <w:r w:rsidRPr="007C5566">
        <w:rPr>
          <w:rStyle w:val="Aucun"/>
          <w:rFonts w:asciiTheme="minorHAnsi" w:hAnsiTheme="minorHAnsi"/>
        </w:rPr>
        <w:t>Bongr</w:t>
      </w:r>
      <w:r w:rsidRPr="003256B8">
        <w:rPr>
          <w:rStyle w:val="Aucun"/>
          <w:rFonts w:asciiTheme="minorHAnsi" w:hAnsiTheme="minorHAnsi"/>
          <w:color w:val="auto"/>
        </w:rPr>
        <w:t>and</w:t>
      </w:r>
      <w:proofErr w:type="spellEnd"/>
      <w:r w:rsidRPr="003256B8">
        <w:rPr>
          <w:rStyle w:val="Aucun"/>
          <w:rFonts w:asciiTheme="minorHAnsi" w:hAnsiTheme="minorHAnsi"/>
          <w:color w:val="auto"/>
        </w:rPr>
        <w:t xml:space="preserve"> (œuvre parallèle à celle de Courbet, opposée à celle de </w:t>
      </w:r>
      <w:proofErr w:type="spellStart"/>
      <w:r w:rsidRPr="003256B8">
        <w:rPr>
          <w:rStyle w:val="Aucun"/>
          <w:rFonts w:asciiTheme="minorHAnsi" w:hAnsiTheme="minorHAnsi"/>
          <w:color w:val="auto"/>
        </w:rPr>
        <w:t>Chambouvard</w:t>
      </w:r>
      <w:proofErr w:type="spellEnd"/>
      <w:r w:rsidRPr="003256B8">
        <w:rPr>
          <w:rStyle w:val="Aucun"/>
          <w:rFonts w:asciiTheme="minorHAnsi" w:hAnsiTheme="minorHAnsi"/>
          <w:color w:val="auto"/>
        </w:rPr>
        <w:t xml:space="preserve">) qui connaît </w:t>
      </w:r>
      <w:r w:rsidRPr="007C5566">
        <w:rPr>
          <w:rStyle w:val="Aucun"/>
          <w:rFonts w:asciiTheme="minorHAnsi" w:hAnsiTheme="minorHAnsi"/>
        </w:rPr>
        <w:t xml:space="preserve">la "suprême joie (d'être) salué (...) du nom de maître" (p.139), ayant créé un "chef-d’œuvre", </w:t>
      </w:r>
      <w:r w:rsidRPr="007C5566">
        <w:rPr>
          <w:rStyle w:val="Aucun"/>
          <w:rFonts w:asciiTheme="minorHAnsi" w:hAnsiTheme="minorHAnsi"/>
          <w:i/>
          <w:iCs/>
        </w:rPr>
        <w:t>La Noce au village</w:t>
      </w:r>
      <w:r w:rsidRPr="007C5566">
        <w:rPr>
          <w:rStyle w:val="Aucun"/>
          <w:rFonts w:asciiTheme="minorHAnsi" w:hAnsiTheme="minorHAnsi"/>
        </w:rPr>
        <w:t xml:space="preserve">, qui "avait apporté une formule nouvelle" et témoignait d'une "perfection dans la facture" (p.138). Le groupe de Claude le désigne ainsi "notre maître à tous" (p.201). Ces maîtres qui constituent autant de jalons dans la tradition, nourrissent la création de ceux qui leur succèdent, ce qui </w:t>
      </w:r>
      <w:r w:rsidRPr="007C5566">
        <w:rPr>
          <w:rStyle w:val="Aucun"/>
          <w:rFonts w:asciiTheme="minorHAnsi" w:hAnsiTheme="minorHAnsi"/>
          <w:b/>
          <w:bCs/>
        </w:rPr>
        <w:t>nuance l'</w:t>
      </w:r>
      <w:proofErr w:type="spellStart"/>
      <w:r w:rsidRPr="007C5566">
        <w:rPr>
          <w:rStyle w:val="Aucun"/>
          <w:rFonts w:asciiTheme="minorHAnsi" w:hAnsiTheme="minorHAnsi"/>
          <w:b/>
          <w:bCs/>
        </w:rPr>
        <w:t>idé</w:t>
      </w:r>
      <w:proofErr w:type="spellEnd"/>
      <w:r w:rsidRPr="007C5566">
        <w:rPr>
          <w:rStyle w:val="Aucun"/>
          <w:rFonts w:asciiTheme="minorHAnsi" w:hAnsiTheme="minorHAnsi"/>
          <w:b/>
          <w:bCs/>
          <w:lang w:val="nl-NL"/>
        </w:rPr>
        <w:t xml:space="preserve">e </w:t>
      </w:r>
      <w:proofErr w:type="spellStart"/>
      <w:r w:rsidRPr="007C5566">
        <w:rPr>
          <w:rStyle w:val="Aucun"/>
          <w:rFonts w:asciiTheme="minorHAnsi" w:hAnsiTheme="minorHAnsi"/>
          <w:b/>
          <w:bCs/>
          <w:lang w:val="nl-NL"/>
        </w:rPr>
        <w:t>kantienne</w:t>
      </w:r>
      <w:proofErr w:type="spellEnd"/>
      <w:r w:rsidRPr="007C5566">
        <w:rPr>
          <w:rStyle w:val="Aucun"/>
          <w:rFonts w:asciiTheme="minorHAnsi" w:hAnsiTheme="minorHAnsi"/>
          <w:b/>
          <w:bCs/>
          <w:lang w:val="nl-NL"/>
        </w:rPr>
        <w:t xml:space="preserve"> </w:t>
      </w:r>
      <w:r w:rsidRPr="007C5566">
        <w:rPr>
          <w:rStyle w:val="Aucun"/>
          <w:rFonts w:asciiTheme="minorHAnsi" w:hAnsiTheme="minorHAnsi"/>
          <w:b/>
          <w:bCs/>
        </w:rPr>
        <w:t>selon laquelle l'œuvre de génie est sans mod</w:t>
      </w:r>
      <w:r w:rsidRPr="007C5566">
        <w:rPr>
          <w:rStyle w:val="Aucun"/>
          <w:rFonts w:asciiTheme="minorHAnsi" w:hAnsiTheme="minorHAnsi"/>
          <w:b/>
          <w:bCs/>
          <w:lang w:val="it-IT"/>
        </w:rPr>
        <w:t>è</w:t>
      </w:r>
      <w:r w:rsidRPr="007C5566">
        <w:rPr>
          <w:rStyle w:val="Aucun"/>
          <w:rFonts w:asciiTheme="minorHAnsi" w:hAnsiTheme="minorHAnsi"/>
          <w:b/>
          <w:bCs/>
        </w:rPr>
        <w:t>le</w:t>
      </w:r>
      <w:r w:rsidRPr="007C5566">
        <w:rPr>
          <w:rStyle w:val="Aucun"/>
          <w:rFonts w:asciiTheme="minorHAnsi" w:hAnsiTheme="minorHAnsi"/>
        </w:rPr>
        <w:t>. Elle a des mod</w:t>
      </w:r>
      <w:r w:rsidRPr="007C5566">
        <w:rPr>
          <w:rStyle w:val="Aucun"/>
          <w:rFonts w:asciiTheme="minorHAnsi" w:hAnsiTheme="minorHAnsi"/>
          <w:lang w:val="it-IT"/>
        </w:rPr>
        <w:t>è</w:t>
      </w:r>
      <w:r w:rsidRPr="007C5566">
        <w:rPr>
          <w:rStyle w:val="Aucun"/>
          <w:rFonts w:asciiTheme="minorHAnsi" w:hAnsiTheme="minorHAnsi"/>
        </w:rPr>
        <w:t xml:space="preserve">les, mais elle les dépasse. Cette idée que les Maîtres sont </w:t>
      </w:r>
      <w:r w:rsidRPr="007C5566">
        <w:rPr>
          <w:rStyle w:val="Aucun"/>
          <w:rFonts w:asciiTheme="minorHAnsi" w:hAnsiTheme="minorHAnsi"/>
          <w:b/>
          <w:bCs/>
        </w:rPr>
        <w:t xml:space="preserve">voués à être dépassés </w:t>
      </w:r>
      <w:r w:rsidRPr="007C5566">
        <w:rPr>
          <w:rStyle w:val="Aucun"/>
          <w:rFonts w:asciiTheme="minorHAnsi" w:hAnsiTheme="minorHAnsi"/>
        </w:rPr>
        <w:t>apparaît dans le fait que, par-delà l'admiration vouée à Courbet et Delacroix, la jeune génération constate l'obsolescence</w:t>
      </w:r>
      <w:r>
        <w:rPr>
          <w:rStyle w:val="Aucun"/>
          <w:rFonts w:asciiTheme="minorHAnsi" w:hAnsiTheme="minorHAnsi"/>
        </w:rPr>
        <w:t xml:space="preserve">, la désuétude </w:t>
      </w:r>
      <w:r w:rsidRPr="007C5566">
        <w:rPr>
          <w:rStyle w:val="Aucun"/>
          <w:rFonts w:asciiTheme="minorHAnsi" w:hAnsiTheme="minorHAnsi"/>
        </w:rPr>
        <w:t>de leur esthétique</w:t>
      </w:r>
      <w:r w:rsidRPr="007C0A0E">
        <w:rPr>
          <w:rStyle w:val="Aucun"/>
          <w:rFonts w:asciiTheme="minorHAnsi" w:hAnsiTheme="minorHAnsi"/>
          <w:b/>
          <w:bCs/>
        </w:rPr>
        <w:t>. Ainsi le "grand décor romantique" (p.82) de Delacroix est artificiel et suranné</w:t>
      </w:r>
      <w:r>
        <w:rPr>
          <w:rStyle w:val="Aucun"/>
          <w:rFonts w:asciiTheme="minorHAnsi" w:hAnsiTheme="minorHAnsi"/>
          <w:b/>
          <w:bCs/>
        </w:rPr>
        <w:t xml:space="preserve"> </w:t>
      </w:r>
      <w:r w:rsidRPr="007C0A0E">
        <w:rPr>
          <w:rStyle w:val="Aucun"/>
          <w:rFonts w:asciiTheme="minorHAnsi" w:hAnsiTheme="minorHAnsi"/>
          <w:b/>
          <w:bCs/>
        </w:rPr>
        <w:t xml:space="preserve">; </w:t>
      </w:r>
      <w:r>
        <w:rPr>
          <w:rStyle w:val="Aucun"/>
          <w:rFonts w:asciiTheme="minorHAnsi" w:hAnsiTheme="minorHAnsi"/>
          <w:b/>
          <w:bCs/>
        </w:rPr>
        <w:t xml:space="preserve"> </w:t>
      </w:r>
      <w:r w:rsidRPr="007C0A0E">
        <w:rPr>
          <w:rStyle w:val="Aucun"/>
          <w:rFonts w:asciiTheme="minorHAnsi" w:hAnsiTheme="minorHAnsi"/>
          <w:b/>
          <w:bCs/>
        </w:rPr>
        <w:t>il faut lui préférer les tableaux de la vie moderne, comme celui du "port Saint-Nicolas, les cabines basses de la navigation, la grande berge pavée qui descend, encombrée de tas de sable, de tonneaux et de sacs, bordée d'une file de péniches encore pleines, où grouillait un peuple de, que dominait le bras gigantesque d'une grue de fonte"</w:t>
      </w:r>
      <w:r w:rsidRPr="007C5566">
        <w:rPr>
          <w:rStyle w:val="Aucun"/>
          <w:rFonts w:asciiTheme="minorHAnsi" w:hAnsiTheme="minorHAnsi"/>
        </w:rPr>
        <w:t xml:space="preserve"> (p.328) Les jeunes peintres déplorent également le fait que la peinture de Courbet sente </w:t>
      </w:r>
      <w:r w:rsidRPr="007C5566">
        <w:rPr>
          <w:rStyle w:val="Aucun"/>
          <w:rFonts w:asciiTheme="minorHAnsi" w:hAnsiTheme="minorHAnsi"/>
          <w:b/>
          <w:bCs/>
        </w:rPr>
        <w:t>"le moisi de l'atelier" (</w:t>
      </w:r>
      <w:r w:rsidRPr="003256B8">
        <w:rPr>
          <w:rStyle w:val="Aucun"/>
          <w:rFonts w:asciiTheme="minorHAnsi" w:hAnsiTheme="minorHAnsi"/>
          <w:color w:val="auto"/>
        </w:rPr>
        <w:t>p.97)</w:t>
      </w:r>
      <w:r>
        <w:rPr>
          <w:rStyle w:val="Aucun"/>
          <w:rFonts w:asciiTheme="minorHAnsi" w:hAnsiTheme="minorHAnsi"/>
          <w:color w:val="auto"/>
        </w:rPr>
        <w:t xml:space="preserve"> </w:t>
      </w:r>
      <w:r w:rsidRPr="003256B8">
        <w:rPr>
          <w:rStyle w:val="Aucun"/>
          <w:rFonts w:asciiTheme="minorHAnsi" w:hAnsiTheme="minorHAnsi"/>
          <w:color w:val="auto"/>
        </w:rPr>
        <w:t>:</w:t>
      </w:r>
      <w:r w:rsidRPr="003256B8">
        <w:rPr>
          <w:rStyle w:val="Aucun"/>
          <w:rFonts w:asciiTheme="minorHAnsi" w:hAnsiTheme="minorHAnsi"/>
          <w:b/>
          <w:bCs/>
          <w:color w:val="auto"/>
        </w:rPr>
        <w:t xml:space="preserve"> </w:t>
      </w:r>
      <w:r w:rsidRPr="007C5566">
        <w:rPr>
          <w:rStyle w:val="Aucun"/>
          <w:rFonts w:asciiTheme="minorHAnsi" w:hAnsiTheme="minorHAnsi"/>
          <w:b/>
          <w:bCs/>
        </w:rPr>
        <w:t xml:space="preserve">sa "peinture noire" </w:t>
      </w:r>
      <w:r w:rsidRPr="007C5566">
        <w:rPr>
          <w:rStyle w:val="Aucun"/>
          <w:rFonts w:asciiTheme="minorHAnsi" w:hAnsiTheme="minorHAnsi"/>
        </w:rPr>
        <w:t xml:space="preserve">est ainsi opposée aux tons flamboyants de nouvelle école: </w:t>
      </w:r>
      <w:r w:rsidRPr="00D14465">
        <w:rPr>
          <w:rStyle w:val="Aucun"/>
          <w:rFonts w:asciiTheme="minorHAnsi" w:hAnsiTheme="minorHAnsi"/>
          <w:b/>
          <w:bCs/>
          <w:color w:val="auto"/>
        </w:rPr>
        <w:t xml:space="preserve">"il faut le plein air, une peinture claire et jeune, les choses et les êtres tels qu'ils se comportent dans la vraie </w:t>
      </w:r>
      <w:r w:rsidRPr="003256B8">
        <w:rPr>
          <w:rStyle w:val="Aucun"/>
          <w:rFonts w:asciiTheme="minorHAnsi" w:hAnsiTheme="minorHAnsi"/>
          <w:b/>
          <w:bCs/>
          <w:color w:val="auto"/>
        </w:rPr>
        <w:t>lumière, enfin, je ne puis pas dire, moi ! notre peinture à nous, la peinture que nos yeux d’aujourd’hui doivent faire et regarder</w:t>
      </w:r>
      <w:r w:rsidRPr="003256B8">
        <w:rPr>
          <w:rStyle w:val="Aucun"/>
          <w:rFonts w:asciiTheme="minorHAnsi" w:hAnsiTheme="minorHAnsi"/>
          <w:color w:val="auto"/>
        </w:rPr>
        <w:t xml:space="preserve">" (p.97), </w:t>
      </w:r>
      <w:r w:rsidRPr="007C5566">
        <w:rPr>
          <w:rStyle w:val="Aucun"/>
          <w:rFonts w:asciiTheme="minorHAnsi" w:hAnsiTheme="minorHAnsi"/>
        </w:rPr>
        <w:t xml:space="preserve">clame Claude </w:t>
      </w:r>
      <w:r>
        <w:rPr>
          <w:rStyle w:val="Aucun"/>
          <w:rFonts w:asciiTheme="minorHAnsi" w:hAnsiTheme="minorHAnsi"/>
        </w:rPr>
        <w:t xml:space="preserve">par opposition à la </w:t>
      </w:r>
      <w:r w:rsidRPr="007C5566">
        <w:rPr>
          <w:rStyle w:val="Aucun"/>
          <w:rFonts w:asciiTheme="minorHAnsi" w:hAnsiTheme="minorHAnsi"/>
        </w:rPr>
        <w:t>peinture académique du Salon officiel, décrite par le narrateur sans indulgence: "</w:t>
      </w:r>
      <w:r w:rsidRPr="007C0A0E">
        <w:rPr>
          <w:rStyle w:val="Aucun"/>
          <w:rFonts w:asciiTheme="minorHAnsi" w:hAnsiTheme="minorHAnsi"/>
          <w:b/>
          <w:bCs/>
        </w:rPr>
        <w:t>Des cadres d'or pleins d'ombre se succédaient, des choses gourmées et noires, des nudités d'atelier jaunissant sous des jours de cave, toute la défroque classique, l'histoire, le genre, le paysage, trempés ensemble au fondu du même cambouis de la convention. Une médiocrité uniforme suintait des œuvres, la salissure boueuse du ton qui les caractérisait, dans cette bonne tenue d'un art au sang pauvre et dégénéré."</w:t>
      </w:r>
      <w:r w:rsidRPr="007C5566">
        <w:rPr>
          <w:rStyle w:val="Aucun"/>
          <w:rFonts w:asciiTheme="minorHAnsi" w:hAnsiTheme="minorHAnsi"/>
        </w:rPr>
        <w:t xml:space="preserve"> (</w:t>
      </w:r>
      <w:proofErr w:type="gramStart"/>
      <w:r w:rsidRPr="003256B8">
        <w:rPr>
          <w:rStyle w:val="Aucun"/>
          <w:rFonts w:asciiTheme="minorHAnsi" w:hAnsiTheme="minorHAnsi"/>
          <w:color w:val="auto"/>
        </w:rPr>
        <w:t>chapitre</w:t>
      </w:r>
      <w:proofErr w:type="gramEnd"/>
      <w:r w:rsidRPr="003256B8">
        <w:rPr>
          <w:rStyle w:val="Aucun"/>
          <w:rFonts w:asciiTheme="minorHAnsi" w:hAnsiTheme="minorHAnsi"/>
          <w:color w:val="auto"/>
        </w:rPr>
        <w:t xml:space="preserve"> 5, </w:t>
      </w:r>
      <w:proofErr w:type="gramStart"/>
      <w:r w:rsidRPr="003256B8">
        <w:rPr>
          <w:rStyle w:val="Aucun"/>
          <w:rFonts w:asciiTheme="minorHAnsi" w:hAnsiTheme="minorHAnsi"/>
          <w:color w:val="auto"/>
        </w:rPr>
        <w:t>p.216 )</w:t>
      </w:r>
      <w:proofErr w:type="gramEnd"/>
      <w:r>
        <w:rPr>
          <w:rStyle w:val="Aucun"/>
          <w:rFonts w:asciiTheme="minorHAnsi" w:hAnsiTheme="minorHAnsi"/>
          <w:color w:val="auto"/>
        </w:rPr>
        <w:t xml:space="preserve">. </w:t>
      </w:r>
      <w:r w:rsidRPr="007C5566">
        <w:rPr>
          <w:rStyle w:val="Aucun"/>
          <w:rFonts w:asciiTheme="minorHAnsi" w:hAnsiTheme="minorHAnsi"/>
        </w:rPr>
        <w:t xml:space="preserve">Le narrateur ne cesse de répéter son éloge du traitement de la lumière dans les toiles de Claude -- référence à la touche </w:t>
      </w:r>
      <w:r w:rsidRPr="007C5566">
        <w:rPr>
          <w:rStyle w:val="Aucun"/>
          <w:rFonts w:asciiTheme="minorHAnsi" w:hAnsiTheme="minorHAnsi"/>
          <w:b/>
          <w:bCs/>
        </w:rPr>
        <w:t>impressionniste</w:t>
      </w:r>
      <w:r w:rsidRPr="007C5566">
        <w:rPr>
          <w:rStyle w:val="Aucun"/>
          <w:rFonts w:asciiTheme="minorHAnsi" w:hAnsiTheme="minorHAnsi"/>
        </w:rPr>
        <w:t xml:space="preserve"> s'employant à restituer l'effet optique mouvant et déconcertant de la lumière sur les objets, rendant par exemple les ombres violettes et les arbres bleus. </w:t>
      </w:r>
    </w:p>
    <w:p w14:paraId="2581B45F" w14:textId="77777777" w:rsidR="00276D45" w:rsidRPr="004458B5" w:rsidRDefault="00276D45" w:rsidP="00276D45">
      <w:pPr>
        <w:pStyle w:val="CorpsA"/>
        <w:spacing w:line="360" w:lineRule="auto"/>
        <w:jc w:val="both"/>
        <w:rPr>
          <w:rStyle w:val="Aucun"/>
          <w:rFonts w:asciiTheme="minorHAnsi" w:eastAsia="Times New Roman" w:hAnsiTheme="minorHAnsi" w:cs="Times New Roman"/>
          <w:color w:val="EE0000"/>
        </w:rPr>
      </w:pPr>
      <w:r w:rsidRPr="007C5566">
        <w:rPr>
          <w:rStyle w:val="Aucun"/>
          <w:rFonts w:asciiTheme="minorHAnsi" w:eastAsia="Times New Roman" w:hAnsiTheme="minorHAnsi" w:cs="Times New Roman"/>
        </w:rPr>
        <w:tab/>
      </w:r>
      <w:r w:rsidRPr="004458B5">
        <w:rPr>
          <w:rStyle w:val="Aucun"/>
          <w:rFonts w:asciiTheme="minorHAnsi" w:eastAsia="Times New Roman" w:hAnsiTheme="minorHAnsi" w:cs="Times New Roman"/>
          <w:b/>
          <w:bCs/>
        </w:rPr>
        <w:t>Woolf va plus loin lorsque, alors m</w:t>
      </w:r>
      <w:r w:rsidRPr="004458B5">
        <w:rPr>
          <w:rStyle w:val="Aucun"/>
          <w:rFonts w:asciiTheme="minorHAnsi" w:hAnsiTheme="minorHAnsi"/>
          <w:b/>
          <w:bCs/>
        </w:rPr>
        <w:t>ême qu'elle incarne la modernité littéraire par excellence, elle prône la nécessité, pour créer, de s'inscrire dans une filiation : "l'écriture d'une femme pense à travers ses mères."</w:t>
      </w:r>
      <w:r w:rsidRPr="007C5566">
        <w:rPr>
          <w:rStyle w:val="Aucun"/>
          <w:rFonts w:asciiTheme="minorHAnsi" w:hAnsiTheme="minorHAnsi"/>
        </w:rPr>
        <w:t xml:space="preserve"> (</w:t>
      </w:r>
      <w:proofErr w:type="gramStart"/>
      <w:r w:rsidRPr="007C5566">
        <w:rPr>
          <w:rStyle w:val="Aucun"/>
          <w:rFonts w:asciiTheme="minorHAnsi" w:hAnsiTheme="minorHAnsi"/>
        </w:rPr>
        <w:t>p</w:t>
      </w:r>
      <w:proofErr w:type="gramEnd"/>
      <w:r w:rsidRPr="007C5566">
        <w:rPr>
          <w:rStyle w:val="Aucun"/>
          <w:rFonts w:asciiTheme="minorHAnsi" w:hAnsiTheme="minorHAnsi"/>
        </w:rPr>
        <w:t>150) Selon elle, les femmes manquent cruellement de ce sentiment de filiation, ce qui les tient en-dehors de la sphère de la création</w:t>
      </w:r>
      <w:r>
        <w:rPr>
          <w:rStyle w:val="Aucun"/>
          <w:rFonts w:asciiTheme="minorHAnsi" w:hAnsiTheme="minorHAnsi"/>
        </w:rPr>
        <w:t xml:space="preserve"> </w:t>
      </w:r>
      <w:r w:rsidRPr="007C5566">
        <w:rPr>
          <w:rStyle w:val="Aucun"/>
          <w:rFonts w:asciiTheme="minorHAnsi" w:hAnsiTheme="minorHAnsi"/>
        </w:rPr>
        <w:t xml:space="preserve">: "quand on est une femme (...) au lieu d'être l'héritière naturelle de cette civilisation, on se retrouve, au contraire, </w:t>
      </w:r>
      <w:r w:rsidRPr="007C5566">
        <w:rPr>
          <w:rStyle w:val="Aucun"/>
          <w:rFonts w:asciiTheme="minorHAnsi" w:hAnsiTheme="minorHAnsi"/>
        </w:rPr>
        <w:lastRenderedPageBreak/>
        <w:t xml:space="preserve">à l'extérieur" (p.150). De fait, les ouvrages d'histoire littéraire minorent l'importance des autrices (dont Woolf reconnaît, de fait, la rareté aux siècles antérieurs). </w:t>
      </w:r>
      <w:r w:rsidRPr="007C5566">
        <w:rPr>
          <w:rStyle w:val="Aucun"/>
          <w:rFonts w:asciiTheme="minorHAnsi" w:hAnsiTheme="minorHAnsi"/>
          <w:lang w:val="en-US"/>
        </w:rPr>
        <w:t xml:space="preserve">Woolf </w:t>
      </w:r>
      <w:r w:rsidRPr="007C5566">
        <w:rPr>
          <w:rStyle w:val="Aucun"/>
          <w:rFonts w:asciiTheme="minorHAnsi" w:hAnsiTheme="minorHAnsi"/>
        </w:rPr>
        <w:t xml:space="preserve">s'emploie donc, dans </w:t>
      </w:r>
      <w:r w:rsidRPr="007C5566">
        <w:rPr>
          <w:rStyle w:val="Aucun"/>
          <w:rFonts w:asciiTheme="minorHAnsi" w:hAnsiTheme="minorHAnsi"/>
          <w:i/>
          <w:iCs/>
        </w:rPr>
        <w:t>Un lieu à soi</w:t>
      </w:r>
      <w:r w:rsidRPr="007C5566">
        <w:rPr>
          <w:rStyle w:val="Aucun"/>
          <w:rFonts w:asciiTheme="minorHAnsi" w:hAnsiTheme="minorHAnsi"/>
        </w:rPr>
        <w:t xml:space="preserve">, à fonder </w:t>
      </w:r>
      <w:r w:rsidRPr="007C5566">
        <w:rPr>
          <w:rStyle w:val="Aucun"/>
          <w:rFonts w:asciiTheme="minorHAnsi" w:hAnsiTheme="minorHAnsi"/>
          <w:b/>
          <w:bCs/>
        </w:rPr>
        <w:t>une histoire littéraire au féminin</w:t>
      </w:r>
      <w:r w:rsidRPr="007C5566">
        <w:rPr>
          <w:rStyle w:val="Aucun"/>
          <w:rFonts w:asciiTheme="minorHAnsi" w:hAnsiTheme="minorHAnsi"/>
        </w:rPr>
        <w:t xml:space="preserve">; elle rend lisible un passé de femmes écrivaines, de Sappho aux </w:t>
      </w:r>
      <w:r>
        <w:rPr>
          <w:rStyle w:val="Aucun"/>
          <w:rFonts w:asciiTheme="minorHAnsi" w:hAnsiTheme="minorHAnsi"/>
        </w:rPr>
        <w:t>sœurs Emily et Charlotte</w:t>
      </w:r>
      <w:r w:rsidRPr="007C5566">
        <w:rPr>
          <w:rStyle w:val="Aucun"/>
          <w:rFonts w:asciiTheme="minorHAnsi" w:hAnsiTheme="minorHAnsi"/>
        </w:rPr>
        <w:t xml:space="preserve"> Brontë, pouvant servir de socle aux </w:t>
      </w:r>
      <w:proofErr w:type="spellStart"/>
      <w:r w:rsidRPr="007C5566">
        <w:rPr>
          <w:rStyle w:val="Aucun"/>
          <w:rFonts w:asciiTheme="minorHAnsi" w:hAnsiTheme="minorHAnsi"/>
        </w:rPr>
        <w:t>cré</w:t>
      </w:r>
      <w:r w:rsidRPr="007C5566">
        <w:rPr>
          <w:rStyle w:val="Aucun"/>
          <w:rFonts w:asciiTheme="minorHAnsi" w:hAnsiTheme="minorHAnsi"/>
          <w:lang w:val="pt-PT"/>
        </w:rPr>
        <w:t>atrices</w:t>
      </w:r>
      <w:proofErr w:type="spellEnd"/>
      <w:r w:rsidRPr="007C5566">
        <w:rPr>
          <w:rStyle w:val="Aucun"/>
          <w:rFonts w:asciiTheme="minorHAnsi" w:hAnsiTheme="minorHAnsi"/>
          <w:lang w:val="pt-PT"/>
        </w:rPr>
        <w:t xml:space="preserve"> futures. </w:t>
      </w:r>
      <w:r w:rsidRPr="007C5566">
        <w:rPr>
          <w:rStyle w:val="Aucun"/>
          <w:rFonts w:asciiTheme="minorHAnsi" w:hAnsiTheme="minorHAnsi"/>
        </w:rPr>
        <w:t>Elle affirme ainsi avec force que les grandes autrices sont des "</w:t>
      </w:r>
      <w:proofErr w:type="spellStart"/>
      <w:r w:rsidRPr="007C5566">
        <w:rPr>
          <w:rStyle w:val="Aucun"/>
          <w:rFonts w:asciiTheme="minorHAnsi" w:hAnsiTheme="minorHAnsi"/>
        </w:rPr>
        <w:t>hériti</w:t>
      </w:r>
      <w:proofErr w:type="spellEnd"/>
      <w:r w:rsidRPr="007C5566">
        <w:rPr>
          <w:rStyle w:val="Aucun"/>
          <w:rFonts w:asciiTheme="minorHAnsi" w:hAnsiTheme="minorHAnsi"/>
          <w:lang w:val="it-IT"/>
        </w:rPr>
        <w:t>è</w:t>
      </w:r>
      <w:proofErr w:type="spellStart"/>
      <w:r w:rsidRPr="007C5566">
        <w:rPr>
          <w:rStyle w:val="Aucun"/>
          <w:rFonts w:asciiTheme="minorHAnsi" w:hAnsiTheme="minorHAnsi"/>
        </w:rPr>
        <w:t>res</w:t>
      </w:r>
      <w:proofErr w:type="spellEnd"/>
      <w:r w:rsidRPr="007C5566">
        <w:rPr>
          <w:rStyle w:val="Aucun"/>
          <w:rFonts w:asciiTheme="minorHAnsi" w:hAnsiTheme="minorHAnsi"/>
        </w:rPr>
        <w:t xml:space="preserve"> autant que des </w:t>
      </w:r>
      <w:proofErr w:type="spellStart"/>
      <w:r w:rsidRPr="007C5566">
        <w:rPr>
          <w:rStyle w:val="Aucun"/>
          <w:rFonts w:asciiTheme="minorHAnsi" w:hAnsiTheme="minorHAnsi"/>
        </w:rPr>
        <w:t>pionni</w:t>
      </w:r>
      <w:proofErr w:type="spellEnd"/>
      <w:r w:rsidRPr="007C5566">
        <w:rPr>
          <w:rStyle w:val="Aucun"/>
          <w:rFonts w:asciiTheme="minorHAnsi" w:hAnsiTheme="minorHAnsi"/>
          <w:lang w:val="it-IT"/>
        </w:rPr>
        <w:t>è</w:t>
      </w:r>
      <w:proofErr w:type="spellStart"/>
      <w:r w:rsidRPr="007C5566">
        <w:rPr>
          <w:rStyle w:val="Aucun"/>
          <w:rFonts w:asciiTheme="minorHAnsi" w:hAnsiTheme="minorHAnsi"/>
        </w:rPr>
        <w:t>res</w:t>
      </w:r>
      <w:proofErr w:type="spellEnd"/>
      <w:r w:rsidRPr="007C5566">
        <w:rPr>
          <w:rStyle w:val="Aucun"/>
          <w:rFonts w:asciiTheme="minorHAnsi" w:hAnsiTheme="minorHAnsi"/>
        </w:rPr>
        <w:t xml:space="preserve">" (p.165) et elle rend </w:t>
      </w:r>
      <w:r w:rsidRPr="007C5566">
        <w:rPr>
          <w:rStyle w:val="Aucun"/>
          <w:rFonts w:asciiTheme="minorHAnsi" w:hAnsiTheme="minorHAnsi"/>
          <w:b/>
          <w:bCs/>
        </w:rPr>
        <w:t>hommage</w:t>
      </w:r>
      <w:r w:rsidRPr="007C5566">
        <w:rPr>
          <w:rStyle w:val="Aucun"/>
          <w:rFonts w:asciiTheme="minorHAnsi" w:hAnsiTheme="minorHAnsi"/>
        </w:rPr>
        <w:t xml:space="preserve"> à ces femmes qui ont rendu possible la création au féminin</w:t>
      </w:r>
      <w:r>
        <w:rPr>
          <w:rStyle w:val="Aucun"/>
          <w:rFonts w:asciiTheme="minorHAnsi" w:hAnsiTheme="minorHAnsi"/>
        </w:rPr>
        <w:t xml:space="preserve"> </w:t>
      </w:r>
      <w:r w:rsidRPr="007C5566">
        <w:rPr>
          <w:rStyle w:val="Aucun"/>
          <w:rFonts w:asciiTheme="minorHAnsi" w:hAnsiTheme="minorHAnsi"/>
        </w:rPr>
        <w:t>: "</w:t>
      </w:r>
      <w:r w:rsidRPr="007C5566">
        <w:rPr>
          <w:rStyle w:val="Aucun"/>
          <w:rFonts w:asciiTheme="minorHAnsi" w:hAnsiTheme="minorHAnsi"/>
          <w:b/>
          <w:bCs/>
        </w:rPr>
        <w:t>Toutes les femmes ensemble devraient mettre des fleurs sur la tombe d'Aphra Behn, qui leur a obtenu le droit de dire ce qu'elles pensent.</w:t>
      </w:r>
      <w:r w:rsidRPr="007C5566">
        <w:rPr>
          <w:rStyle w:val="Aucun"/>
          <w:rFonts w:asciiTheme="minorHAnsi" w:hAnsiTheme="minorHAnsi"/>
        </w:rPr>
        <w:t>" (p.108</w:t>
      </w:r>
      <w:r w:rsidRPr="003256B8">
        <w:rPr>
          <w:rStyle w:val="Aucun"/>
          <w:rFonts w:asciiTheme="minorHAnsi" w:hAnsiTheme="minorHAnsi"/>
          <w:b/>
          <w:bCs/>
          <w:color w:val="auto"/>
        </w:rPr>
        <w:t xml:space="preserve">) Cette autrice </w:t>
      </w:r>
      <w:proofErr w:type="gramStart"/>
      <w:r w:rsidRPr="003256B8">
        <w:rPr>
          <w:rStyle w:val="Aucun"/>
          <w:rFonts w:asciiTheme="minorHAnsi" w:hAnsiTheme="minorHAnsi"/>
          <w:b/>
          <w:bCs/>
          <w:color w:val="auto"/>
        </w:rPr>
        <w:t>«  a</w:t>
      </w:r>
      <w:proofErr w:type="gramEnd"/>
      <w:r w:rsidRPr="003256B8">
        <w:rPr>
          <w:rStyle w:val="Aucun"/>
          <w:rFonts w:asciiTheme="minorHAnsi" w:hAnsiTheme="minorHAnsi"/>
          <w:b/>
          <w:bCs/>
          <w:color w:val="auto"/>
        </w:rPr>
        <w:t xml:space="preserve"> prouvé qu’on pouvait gagner de l’argent en écrivant, au sacrifice, peut-être, de certaines qualités agréables ; et ainsi, petit à petit, écrire cessa de n’être qu’un signe de folie ou de dérangement mental, mais prit une importance pratique ». </w:t>
      </w:r>
    </w:p>
    <w:p w14:paraId="7BF1581B"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p>
    <w:p w14:paraId="74CDFB77" w14:textId="77777777" w:rsidR="00276D45" w:rsidRPr="007C5566" w:rsidRDefault="00276D45" w:rsidP="00276D45">
      <w:pPr>
        <w:pStyle w:val="CorpsA"/>
        <w:spacing w:line="360" w:lineRule="auto"/>
        <w:jc w:val="both"/>
        <w:rPr>
          <w:rStyle w:val="Aucun"/>
          <w:rFonts w:asciiTheme="minorHAnsi" w:eastAsia="Times New Roman" w:hAnsiTheme="minorHAnsi" w:cs="Times New Roman"/>
          <w:b/>
          <w:bCs/>
        </w:rPr>
      </w:pPr>
      <w:r w:rsidRPr="007C5566">
        <w:rPr>
          <w:rStyle w:val="Aucun"/>
          <w:rFonts w:asciiTheme="minorHAnsi" w:eastAsia="Times New Roman" w:hAnsiTheme="minorHAnsi" w:cs="Times New Roman"/>
          <w:b/>
          <w:bCs/>
        </w:rPr>
        <w:tab/>
      </w:r>
      <w:r>
        <w:rPr>
          <w:rStyle w:val="Aucun"/>
          <w:rFonts w:asciiTheme="minorHAnsi" w:eastAsia="Times New Roman" w:hAnsiTheme="minorHAnsi" w:cs="Times New Roman"/>
          <w:b/>
          <w:bCs/>
        </w:rPr>
        <w:t>//</w:t>
      </w:r>
      <w:r w:rsidRPr="007C5566">
        <w:rPr>
          <w:rStyle w:val="Aucun"/>
          <w:rFonts w:asciiTheme="minorHAnsi" w:eastAsia="Times New Roman" w:hAnsiTheme="minorHAnsi" w:cs="Times New Roman"/>
          <w:b/>
          <w:bCs/>
        </w:rPr>
        <w:t>3</w:t>
      </w:r>
      <w:proofErr w:type="gramStart"/>
      <w:r w:rsidRPr="007C5566">
        <w:rPr>
          <w:rStyle w:val="Aucun"/>
          <w:rFonts w:asciiTheme="minorHAnsi" w:eastAsia="Times New Roman" w:hAnsiTheme="minorHAnsi" w:cs="Times New Roman"/>
          <w:b/>
          <w:bCs/>
        </w:rPr>
        <w:t>)  De</w:t>
      </w:r>
      <w:proofErr w:type="gramEnd"/>
      <w:r w:rsidRPr="007C5566">
        <w:rPr>
          <w:rStyle w:val="Aucun"/>
          <w:rFonts w:asciiTheme="minorHAnsi" w:eastAsia="Times New Roman" w:hAnsiTheme="minorHAnsi" w:cs="Times New Roman"/>
          <w:b/>
          <w:bCs/>
        </w:rPr>
        <w:t xml:space="preserve"> la Muse </w:t>
      </w:r>
      <w:r w:rsidRPr="007C5566">
        <w:rPr>
          <w:rStyle w:val="Aucun"/>
          <w:rFonts w:asciiTheme="minorHAnsi" w:hAnsiTheme="minorHAnsi"/>
          <w:b/>
          <w:bCs/>
        </w:rPr>
        <w:t>à la muse</w:t>
      </w:r>
      <w:r>
        <w:rPr>
          <w:rStyle w:val="Aucun"/>
          <w:rFonts w:asciiTheme="minorHAnsi" w:hAnsiTheme="minorHAnsi"/>
          <w:b/>
          <w:bCs/>
        </w:rPr>
        <w:t xml:space="preserve"> </w:t>
      </w:r>
      <w:r w:rsidRPr="007C5566">
        <w:rPr>
          <w:rStyle w:val="Aucun"/>
          <w:rFonts w:asciiTheme="minorHAnsi" w:hAnsiTheme="minorHAnsi"/>
          <w:b/>
          <w:bCs/>
        </w:rPr>
        <w:t xml:space="preserve">: de la divinité créatrice à la femme instrumentalisée </w:t>
      </w:r>
    </w:p>
    <w:p w14:paraId="1D350795"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b/>
          <w:bCs/>
        </w:rPr>
        <w:tab/>
      </w:r>
      <w:r w:rsidRPr="007C5566">
        <w:rPr>
          <w:rStyle w:val="Aucun"/>
          <w:rFonts w:asciiTheme="minorHAnsi" w:hAnsiTheme="minorHAnsi"/>
        </w:rPr>
        <w:t>Les</w:t>
      </w:r>
      <w:r w:rsidRPr="007C5566">
        <w:rPr>
          <w:rStyle w:val="Aucun"/>
          <w:rFonts w:asciiTheme="minorHAnsi" w:hAnsiTheme="minorHAnsi"/>
          <w:b/>
          <w:bCs/>
        </w:rPr>
        <w:t xml:space="preserve"> </w:t>
      </w:r>
      <w:r w:rsidRPr="007C5566">
        <w:rPr>
          <w:rStyle w:val="Aucun"/>
          <w:rFonts w:asciiTheme="minorHAnsi" w:hAnsiTheme="minorHAnsi"/>
        </w:rPr>
        <w:t>Muses sont invoquées dès le début d'</w:t>
      </w:r>
      <w:r w:rsidRPr="007C5566">
        <w:rPr>
          <w:rStyle w:val="Aucun"/>
          <w:rFonts w:asciiTheme="minorHAnsi" w:hAnsiTheme="minorHAnsi"/>
          <w:i/>
          <w:iCs/>
        </w:rPr>
        <w:t>Ion</w:t>
      </w:r>
      <w:r w:rsidRPr="007C5566">
        <w:rPr>
          <w:rStyle w:val="Aucun"/>
          <w:rFonts w:asciiTheme="minorHAnsi" w:hAnsiTheme="minorHAnsi"/>
        </w:rPr>
        <w:t xml:space="preserve"> pour renvoyer à la création en général ("tous les arts des Muses", p.85). Il ne s'agit pas là que d'une image puisque Socrate postule que les poètes </w:t>
      </w:r>
      <w:r w:rsidRPr="007C5566">
        <w:rPr>
          <w:rStyle w:val="Aucun"/>
          <w:rFonts w:asciiTheme="minorHAnsi" w:hAnsiTheme="minorHAnsi"/>
          <w:b/>
          <w:bCs/>
        </w:rPr>
        <w:t xml:space="preserve">"rapportent leurs poèmes lyriques" depuis "certains jardins et vallons des Muses" </w:t>
      </w:r>
      <w:r w:rsidRPr="007C5566">
        <w:rPr>
          <w:rStyle w:val="Aucun"/>
          <w:rFonts w:asciiTheme="minorHAnsi" w:hAnsiTheme="minorHAnsi"/>
        </w:rPr>
        <w:t xml:space="preserve">où ils "butinent" des "sources de miel" (p.101). En dernière instance, la Muse est donc l'origine de la création, ce qui minore la paternité de l'homme créateur. C'est elle, </w:t>
      </w:r>
      <w:r w:rsidRPr="007C5566">
        <w:rPr>
          <w:rStyle w:val="Aucun"/>
          <w:rFonts w:asciiTheme="minorHAnsi" w:hAnsiTheme="minorHAnsi"/>
          <w:b/>
          <w:bCs/>
        </w:rPr>
        <w:t>le sujet agissant</w:t>
      </w:r>
      <w:r>
        <w:rPr>
          <w:rStyle w:val="Aucun"/>
          <w:rFonts w:asciiTheme="minorHAnsi" w:hAnsiTheme="minorHAnsi"/>
          <w:b/>
          <w:bCs/>
        </w:rPr>
        <w:t xml:space="preserve"> </w:t>
      </w:r>
      <w:r w:rsidRPr="007C5566">
        <w:rPr>
          <w:rStyle w:val="Aucun"/>
          <w:rFonts w:asciiTheme="minorHAnsi" w:hAnsiTheme="minorHAnsi"/>
        </w:rPr>
        <w:t xml:space="preserve">: "La Muse (...) transforme les hommes en inspirés du dieu" (p.100), chacun ne pouvant composer que "dans la voie où elle l'a poussé" (p.102), ce qui explique qu'Ion ne soit maître en la matière que pour ce qui est des œuvres d'Homère. </w:t>
      </w:r>
    </w:p>
    <w:p w14:paraId="1670A2A4"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Le mod</w:t>
      </w:r>
      <w:r w:rsidRPr="007C5566">
        <w:rPr>
          <w:rStyle w:val="Aucun"/>
          <w:rFonts w:asciiTheme="minorHAnsi" w:hAnsiTheme="minorHAnsi"/>
        </w:rPr>
        <w:t>èle de la muse traverse les siècles</w:t>
      </w:r>
      <w:r>
        <w:rPr>
          <w:rStyle w:val="Aucun"/>
          <w:rFonts w:asciiTheme="minorHAnsi" w:hAnsiTheme="minorHAnsi"/>
        </w:rPr>
        <w:t xml:space="preserve"> </w:t>
      </w:r>
      <w:r w:rsidRPr="007C5566">
        <w:rPr>
          <w:rStyle w:val="Aucun"/>
          <w:rFonts w:asciiTheme="minorHAnsi" w:hAnsiTheme="minorHAnsi"/>
        </w:rPr>
        <w:t xml:space="preserve">; c'est un véritable </w:t>
      </w:r>
      <w:r w:rsidRPr="007C5566">
        <w:rPr>
          <w:rStyle w:val="Aucun"/>
          <w:rFonts w:asciiTheme="minorHAnsi" w:hAnsiTheme="minorHAnsi"/>
          <w:b/>
          <w:bCs/>
          <w:i/>
          <w:iCs/>
        </w:rPr>
        <w:t>topos</w:t>
      </w:r>
      <w:r w:rsidRPr="007C5566">
        <w:rPr>
          <w:rStyle w:val="Aucun"/>
          <w:rFonts w:asciiTheme="minorHAnsi" w:hAnsiTheme="minorHAnsi"/>
        </w:rPr>
        <w:t>, que traduit l'aphorisme de Woolf</w:t>
      </w:r>
      <w:r>
        <w:rPr>
          <w:rStyle w:val="Aucun"/>
          <w:rFonts w:asciiTheme="minorHAnsi" w:hAnsiTheme="minorHAnsi"/>
        </w:rPr>
        <w:t xml:space="preserve"> </w:t>
      </w:r>
      <w:r w:rsidRPr="007C5566">
        <w:rPr>
          <w:rStyle w:val="Aucun"/>
          <w:rFonts w:asciiTheme="minorHAnsi" w:hAnsiTheme="minorHAnsi"/>
        </w:rPr>
        <w:t>: "Tout Johnson poss</w:t>
      </w:r>
      <w:r w:rsidRPr="007C5566">
        <w:rPr>
          <w:rStyle w:val="Aucun"/>
          <w:rFonts w:asciiTheme="minorHAnsi" w:hAnsiTheme="minorHAnsi"/>
          <w:lang w:val="it-IT"/>
        </w:rPr>
        <w:t>è</w:t>
      </w:r>
      <w:r w:rsidRPr="007C5566">
        <w:rPr>
          <w:rStyle w:val="Aucun"/>
          <w:rFonts w:asciiTheme="minorHAnsi" w:hAnsiTheme="minorHAnsi"/>
        </w:rPr>
        <w:t>de une Thrale" (p.136-137). À travers les siècles, des femmes inspirent des hommes. Ainsi des modèles dans le roman de Zola</w:t>
      </w:r>
      <w:r>
        <w:rPr>
          <w:rStyle w:val="Aucun"/>
          <w:rFonts w:asciiTheme="minorHAnsi" w:hAnsiTheme="minorHAnsi"/>
        </w:rPr>
        <w:t xml:space="preserve"> </w:t>
      </w:r>
      <w:r w:rsidRPr="007C5566">
        <w:rPr>
          <w:rStyle w:val="Aucun"/>
          <w:rFonts w:asciiTheme="minorHAnsi" w:hAnsiTheme="minorHAnsi"/>
        </w:rPr>
        <w:t>: Christine devant qui Claude éprouve "un émerveillement d'artiste" (</w:t>
      </w:r>
      <w:r w:rsidRPr="003256B8">
        <w:rPr>
          <w:rStyle w:val="Aucun"/>
          <w:rFonts w:asciiTheme="minorHAnsi" w:hAnsiTheme="minorHAnsi"/>
          <w:color w:val="auto"/>
        </w:rPr>
        <w:t xml:space="preserve">p.57) </w:t>
      </w:r>
      <w:r w:rsidRPr="007C5566">
        <w:rPr>
          <w:rStyle w:val="Aucun"/>
          <w:rFonts w:asciiTheme="minorHAnsi" w:hAnsiTheme="minorHAnsi"/>
        </w:rPr>
        <w:t xml:space="preserve">quand il la </w:t>
      </w:r>
      <w:r>
        <w:rPr>
          <w:rStyle w:val="Aucun"/>
          <w:rFonts w:asciiTheme="minorHAnsi" w:hAnsiTheme="minorHAnsi"/>
        </w:rPr>
        <w:t>dessine</w:t>
      </w:r>
      <w:r w:rsidRPr="007C5566">
        <w:rPr>
          <w:rStyle w:val="Aucun"/>
          <w:rFonts w:asciiTheme="minorHAnsi" w:hAnsiTheme="minorHAnsi"/>
        </w:rPr>
        <w:t>... à défaut de la c</w:t>
      </w:r>
      <w:r>
        <w:rPr>
          <w:rStyle w:val="Aucun"/>
          <w:rFonts w:asciiTheme="minorHAnsi" w:hAnsiTheme="minorHAnsi"/>
        </w:rPr>
        <w:t xml:space="preserve">onquérir --: </w:t>
      </w:r>
      <w:r w:rsidRPr="003256B8">
        <w:rPr>
          <w:rStyle w:val="Aucun"/>
          <w:rFonts w:asciiTheme="minorHAnsi" w:hAnsiTheme="minorHAnsi"/>
          <w:color w:val="auto"/>
        </w:rPr>
        <w:t xml:space="preserve">« c’était ça, tout à fait ça, la figure qu’il avait inutilement cherchée pour son tableau, et presque dans la pose » (p. 57) </w:t>
      </w:r>
      <w:r w:rsidRPr="007C5566">
        <w:rPr>
          <w:rStyle w:val="Aucun"/>
          <w:rFonts w:asciiTheme="minorHAnsi" w:hAnsiTheme="minorHAnsi"/>
        </w:rPr>
        <w:t>; Irma qui les a "tous conquis" (</w:t>
      </w:r>
      <w:proofErr w:type="gramStart"/>
      <w:r w:rsidRPr="007C5566">
        <w:rPr>
          <w:rStyle w:val="Aucun"/>
          <w:rFonts w:asciiTheme="minorHAnsi" w:hAnsiTheme="minorHAnsi"/>
        </w:rPr>
        <w:t>p.127)...</w:t>
      </w:r>
      <w:proofErr w:type="gramEnd"/>
      <w:r w:rsidRPr="007C5566">
        <w:rPr>
          <w:rStyle w:val="Aucun"/>
          <w:rFonts w:asciiTheme="minorHAnsi" w:hAnsiTheme="minorHAnsi"/>
        </w:rPr>
        <w:t xml:space="preserve"> Toutefois ces muses sont à la fois exaltées et instrumentalisées. Détrônée par rapport au statut de divinité que l'Antiquité octroyait aux Muses, Christine se voit réduite à une silhouette, simple support de la toile rêvée par Claude. Ce processus de </w:t>
      </w:r>
      <w:r w:rsidRPr="007C5566">
        <w:rPr>
          <w:rStyle w:val="Aucun"/>
          <w:rFonts w:asciiTheme="minorHAnsi" w:hAnsiTheme="minorHAnsi"/>
          <w:b/>
          <w:bCs/>
        </w:rPr>
        <w:t>dégradation</w:t>
      </w:r>
      <w:r w:rsidRPr="007C5566">
        <w:rPr>
          <w:rStyle w:val="Aucun"/>
          <w:rFonts w:asciiTheme="minorHAnsi" w:hAnsiTheme="minorHAnsi"/>
        </w:rPr>
        <w:t xml:space="preserve"> est lisible dès le début du roman</w:t>
      </w:r>
      <w:r>
        <w:rPr>
          <w:rStyle w:val="Aucun"/>
          <w:rFonts w:asciiTheme="minorHAnsi" w:hAnsiTheme="minorHAnsi"/>
        </w:rPr>
        <w:t xml:space="preserve"> </w:t>
      </w:r>
      <w:r w:rsidRPr="007C5566">
        <w:rPr>
          <w:rStyle w:val="Aucun"/>
          <w:rFonts w:asciiTheme="minorHAnsi" w:hAnsiTheme="minorHAnsi"/>
        </w:rPr>
        <w:t>; lorsque Claude la dessine pour la première fois, le narrateur commente</w:t>
      </w:r>
      <w:r>
        <w:rPr>
          <w:rStyle w:val="Aucun"/>
          <w:rFonts w:asciiTheme="minorHAnsi" w:hAnsiTheme="minorHAnsi"/>
        </w:rPr>
        <w:t xml:space="preserve"> </w:t>
      </w:r>
      <w:r w:rsidRPr="007C5566">
        <w:rPr>
          <w:rStyle w:val="Aucun"/>
          <w:rFonts w:asciiTheme="minorHAnsi" w:hAnsiTheme="minorHAnsi"/>
        </w:rPr>
        <w:t xml:space="preserve">: "Déjà, il avait oublié la jeune fille" </w:t>
      </w:r>
      <w:r w:rsidRPr="00477B9C">
        <w:rPr>
          <w:rStyle w:val="Aucun"/>
          <w:rFonts w:asciiTheme="minorHAnsi" w:hAnsiTheme="minorHAnsi"/>
          <w:color w:val="auto"/>
        </w:rPr>
        <w:t xml:space="preserve">(p.57) </w:t>
      </w:r>
      <w:r w:rsidRPr="007C5566">
        <w:rPr>
          <w:rStyle w:val="Aucun"/>
          <w:rFonts w:asciiTheme="minorHAnsi" w:hAnsiTheme="minorHAnsi"/>
        </w:rPr>
        <w:t xml:space="preserve">; Claude ne voit plus en elle que le modèle. Le mythe de </w:t>
      </w:r>
      <w:r w:rsidRPr="007C5566">
        <w:rPr>
          <w:rStyle w:val="Aucun"/>
          <w:rFonts w:asciiTheme="minorHAnsi" w:hAnsiTheme="minorHAnsi"/>
          <w:b/>
          <w:bCs/>
        </w:rPr>
        <w:t>Galatée</w:t>
      </w:r>
      <w:r w:rsidRPr="007C5566">
        <w:rPr>
          <w:rStyle w:val="Aucun"/>
          <w:rFonts w:asciiTheme="minorHAnsi" w:hAnsiTheme="minorHAnsi"/>
        </w:rPr>
        <w:t xml:space="preserve"> se trouve </w:t>
      </w:r>
      <w:r w:rsidRPr="007C5566">
        <w:rPr>
          <w:rStyle w:val="Aucun"/>
          <w:rFonts w:asciiTheme="minorHAnsi" w:hAnsiTheme="minorHAnsi"/>
          <w:b/>
          <w:bCs/>
        </w:rPr>
        <w:t>inversé</w:t>
      </w:r>
      <w:r>
        <w:rPr>
          <w:rStyle w:val="Aucun"/>
          <w:rFonts w:asciiTheme="minorHAnsi" w:hAnsiTheme="minorHAnsi"/>
          <w:b/>
          <w:bCs/>
        </w:rPr>
        <w:t xml:space="preserve"> </w:t>
      </w:r>
      <w:r w:rsidRPr="007C5566">
        <w:rPr>
          <w:rStyle w:val="Aucun"/>
          <w:rFonts w:asciiTheme="minorHAnsi" w:hAnsiTheme="minorHAnsi"/>
        </w:rPr>
        <w:t>: la femme de chair est supplantée par la femme peinte, devant qui, en effet, Claude s'offrira en sacrifice dans le dénouement du roman.</w:t>
      </w:r>
    </w:p>
    <w:p w14:paraId="7A1C3A4D" w14:textId="77777777" w:rsidR="00276D45" w:rsidRPr="007C5566" w:rsidRDefault="00276D45" w:rsidP="00276D45">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lastRenderedPageBreak/>
        <w:tab/>
        <w:t xml:space="preserve">Woolf propose quant </w:t>
      </w:r>
      <w:r w:rsidRPr="007C5566">
        <w:rPr>
          <w:rStyle w:val="Aucun"/>
          <w:rFonts w:asciiTheme="minorHAnsi" w:hAnsiTheme="minorHAnsi"/>
        </w:rPr>
        <w:t xml:space="preserve">à elle une réflexion originale sur les raisons d'une telle persistance de la femme muse. Si les femmes nourrissent la création des hommes, c'est moins par leur beauté ou le désir qu'elle suscitent chez le créateur, mais par leur </w:t>
      </w:r>
      <w:r w:rsidRPr="007C5566">
        <w:rPr>
          <w:rStyle w:val="Aucun"/>
          <w:rFonts w:asciiTheme="minorHAnsi" w:hAnsiTheme="minorHAnsi"/>
          <w:b/>
          <w:bCs/>
        </w:rPr>
        <w:t>altérité</w:t>
      </w:r>
      <w:r w:rsidRPr="007C5566">
        <w:rPr>
          <w:rStyle w:val="Aucun"/>
          <w:rFonts w:asciiTheme="minorHAnsi" w:hAnsiTheme="minorHAnsi"/>
        </w:rPr>
        <w:t>, liée à leur féminité même, distincte de l'identité masculine du créateur. Elles constituent ainsi "le centre d'un ordre et d'un système de vie différents, instantanément rafraîchissant et revigorant"</w:t>
      </w:r>
      <w:r>
        <w:rPr>
          <w:rStyle w:val="Aucun"/>
          <w:rFonts w:asciiTheme="minorHAnsi" w:hAnsiTheme="minorHAnsi"/>
        </w:rPr>
        <w:t xml:space="preserve"> </w:t>
      </w:r>
      <w:r w:rsidRPr="007C5566">
        <w:rPr>
          <w:rStyle w:val="Aucun"/>
          <w:rFonts w:asciiTheme="minorHAnsi" w:hAnsiTheme="minorHAnsi"/>
        </w:rPr>
        <w:t xml:space="preserve">; </w:t>
      </w:r>
      <w:r w:rsidRPr="007C5566">
        <w:rPr>
          <w:rStyle w:val="Aucun"/>
          <w:rFonts w:asciiTheme="minorHAnsi" w:hAnsiTheme="minorHAnsi"/>
          <w:b/>
          <w:bCs/>
        </w:rPr>
        <w:t xml:space="preserve">les idées "racornies" des hommes s'y voient "fertilisées" à cette source </w:t>
      </w:r>
      <w:r w:rsidRPr="007C5566">
        <w:rPr>
          <w:rStyle w:val="Aucun"/>
          <w:rFonts w:asciiTheme="minorHAnsi" w:hAnsiTheme="minorHAnsi"/>
        </w:rPr>
        <w:t>(p.136).</w:t>
      </w:r>
    </w:p>
    <w:p w14:paraId="2A5204EB" w14:textId="77777777" w:rsidR="00276D45" w:rsidRDefault="00276D45"/>
    <w:sectPr w:rsidR="00276D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D45"/>
    <w:rsid w:val="00276D45"/>
    <w:rsid w:val="009336CB"/>
    <w:rsid w:val="00992241"/>
    <w:rsid w:val="00A733DD"/>
    <w:rsid w:val="00D848D1"/>
    <w:rsid w:val="00E343A1"/>
    <w:rsid w:val="00F069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40D15FC"/>
  <w15:chartTrackingRefBased/>
  <w15:docId w15:val="{CDF7A51B-D40F-5846-A5BC-D7D9A4B3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7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7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76D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76D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76D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76D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6D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6D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6D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6D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76D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76D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76D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76D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76D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6D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6D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6D45"/>
    <w:rPr>
      <w:rFonts w:eastAsiaTheme="majorEastAsia" w:cstheme="majorBidi"/>
      <w:color w:val="272727" w:themeColor="text1" w:themeTint="D8"/>
    </w:rPr>
  </w:style>
  <w:style w:type="paragraph" w:styleId="Titre">
    <w:name w:val="Title"/>
    <w:basedOn w:val="Normal"/>
    <w:next w:val="Normal"/>
    <w:link w:val="TitreCar"/>
    <w:uiPriority w:val="10"/>
    <w:qFormat/>
    <w:rsid w:val="0027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6D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6D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6D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6D45"/>
    <w:pPr>
      <w:spacing w:before="160"/>
      <w:jc w:val="center"/>
    </w:pPr>
    <w:rPr>
      <w:i/>
      <w:iCs/>
      <w:color w:val="404040" w:themeColor="text1" w:themeTint="BF"/>
    </w:rPr>
  </w:style>
  <w:style w:type="character" w:customStyle="1" w:styleId="CitationCar">
    <w:name w:val="Citation Car"/>
    <w:basedOn w:val="Policepardfaut"/>
    <w:link w:val="Citation"/>
    <w:uiPriority w:val="29"/>
    <w:rsid w:val="00276D45"/>
    <w:rPr>
      <w:i/>
      <w:iCs/>
      <w:color w:val="404040" w:themeColor="text1" w:themeTint="BF"/>
    </w:rPr>
  </w:style>
  <w:style w:type="paragraph" w:styleId="Paragraphedeliste">
    <w:name w:val="List Paragraph"/>
    <w:basedOn w:val="Normal"/>
    <w:uiPriority w:val="34"/>
    <w:qFormat/>
    <w:rsid w:val="00276D45"/>
    <w:pPr>
      <w:ind w:left="720"/>
      <w:contextualSpacing/>
    </w:pPr>
  </w:style>
  <w:style w:type="character" w:styleId="Accentuationintense">
    <w:name w:val="Intense Emphasis"/>
    <w:basedOn w:val="Policepardfaut"/>
    <w:uiPriority w:val="21"/>
    <w:qFormat/>
    <w:rsid w:val="00276D45"/>
    <w:rPr>
      <w:i/>
      <w:iCs/>
      <w:color w:val="0F4761" w:themeColor="accent1" w:themeShade="BF"/>
    </w:rPr>
  </w:style>
  <w:style w:type="paragraph" w:styleId="Citationintense">
    <w:name w:val="Intense Quote"/>
    <w:basedOn w:val="Normal"/>
    <w:next w:val="Normal"/>
    <w:link w:val="CitationintenseCar"/>
    <w:uiPriority w:val="30"/>
    <w:qFormat/>
    <w:rsid w:val="0027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76D45"/>
    <w:rPr>
      <w:i/>
      <w:iCs/>
      <w:color w:val="0F4761" w:themeColor="accent1" w:themeShade="BF"/>
    </w:rPr>
  </w:style>
  <w:style w:type="character" w:styleId="Rfrenceintense">
    <w:name w:val="Intense Reference"/>
    <w:basedOn w:val="Policepardfaut"/>
    <w:uiPriority w:val="32"/>
    <w:qFormat/>
    <w:rsid w:val="00276D45"/>
    <w:rPr>
      <w:b/>
      <w:bCs/>
      <w:smallCaps/>
      <w:color w:val="0F4761" w:themeColor="accent1" w:themeShade="BF"/>
      <w:spacing w:val="5"/>
    </w:rPr>
  </w:style>
  <w:style w:type="character" w:customStyle="1" w:styleId="apple-converted-space">
    <w:name w:val="apple-converted-space"/>
    <w:basedOn w:val="Policepardfaut"/>
    <w:rsid w:val="00276D45"/>
  </w:style>
  <w:style w:type="character" w:customStyle="1" w:styleId="Aucun">
    <w:name w:val="Aucun"/>
    <w:rsid w:val="00276D45"/>
  </w:style>
  <w:style w:type="paragraph" w:customStyle="1" w:styleId="CorpsA">
    <w:name w:val="Corps A"/>
    <w:rsid w:val="00276D45"/>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u w:color="000000"/>
      <w:bdr w:val="nil"/>
      <w:lang w:eastAsia="fr-FR"/>
      <w14:textOutline w14:w="12700" w14:cap="flat" w14:cmpd="sng" w14:algn="ctr">
        <w14:noFill/>
        <w14:prstDash w14:val="solid"/>
        <w14:miter w14:lim="400000"/>
      </w14:textOutline>
      <w14:ligatures w14:val="none"/>
    </w:rPr>
  </w:style>
  <w:style w:type="character" w:styleId="Accentuation">
    <w:name w:val="Emphasis"/>
    <w:basedOn w:val="Policepardfaut"/>
    <w:uiPriority w:val="20"/>
    <w:qFormat/>
    <w:rsid w:val="00276D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1450</Words>
  <Characters>7978</Characters>
  <Application>Microsoft Office Word</Application>
  <DocSecurity>0</DocSecurity>
  <Lines>66</Lines>
  <Paragraphs>18</Paragraphs>
  <ScaleCrop>false</ScaleCrop>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Larre</dc:creator>
  <cp:keywords/>
  <dc:description/>
  <cp:lastModifiedBy>David Larre</cp:lastModifiedBy>
  <cp:revision>1</cp:revision>
  <dcterms:created xsi:type="dcterms:W3CDTF">2026-10-16T16:54:00Z</dcterms:created>
  <dcterms:modified xsi:type="dcterms:W3CDTF">2026-10-16T16:54:00Z</dcterms:modified>
</cp:coreProperties>
</file>