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bidi w:val="0"/>
      </w:pPr>
      <w:r>
        <w:rPr>
          <w:rtl w:val="0"/>
        </w:rPr>
        <w:t>Politicians</w:t>
      </w:r>
      <w:r>
        <w:rPr>
          <w:rtl w:val="0"/>
        </w:rPr>
        <w:t>’ ‘</w:t>
      </w:r>
      <w:r>
        <w:rPr>
          <w:rtl w:val="0"/>
        </w:rPr>
        <w:t>inflammatory language</w:t>
      </w:r>
      <w:r>
        <w:rPr>
          <w:rtl w:val="0"/>
        </w:rPr>
        <w:t xml:space="preserve">’ </w:t>
      </w:r>
      <w:r>
        <w:rPr>
          <w:rtl w:val="0"/>
        </w:rPr>
        <w:t>part of failure to tackle extremism, UK report finds</w:t>
      </w:r>
    </w:p>
    <w:p>
      <w:pPr>
        <w:pStyle w:val="Par défaut"/>
        <w:spacing w:after="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Ben Quinn</w:t>
      </w:r>
      <w:r>
        <w:rPr>
          <w:rFonts w:ascii="Times" w:hAnsi="Times"/>
          <w:sz w:val="24"/>
          <w:szCs w:val="24"/>
          <w:rtl w:val="0"/>
          <w:lang w:val="fr-FR"/>
        </w:rPr>
        <w:t xml:space="preserve">, </w:t>
      </w:r>
      <w:r>
        <w:rPr>
          <w:rStyle w:val="Aucun"/>
          <w:rFonts w:ascii="Times" w:hAnsi="Times"/>
          <w:outline w:val="0"/>
          <w:color w:val="000000"/>
          <w:sz w:val="24"/>
          <w:szCs w:val="24"/>
          <w:u w:val="none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The Guardian, </w:t>
      </w:r>
      <w:r>
        <w:rPr>
          <w:rFonts w:ascii="Times" w:hAnsi="Times"/>
          <w:sz w:val="24"/>
          <w:szCs w:val="24"/>
          <w:rtl w:val="0"/>
          <w:lang w:val="en-US"/>
        </w:rPr>
        <w:t>Mon 9 Dec 2024</w:t>
      </w:r>
    </w:p>
    <w:p>
      <w:pPr>
        <w:pStyle w:val="Par défaut"/>
        <w:spacing w:after="120"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Politicians have been criticised for using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inflammatory language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and peddling conspiracy theories in a report that finds government policies are failing to prevent extremism spreading and taking root in the UK.</w:t>
      </w:r>
      <w:r>
        <w:rPr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en-US"/>
        </w:rPr>
        <w:t xml:space="preserve">The report from Dame Sara Khan, a former counter-extremism commissioner, urges a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radical rethink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of how ministers tackle extremism amid a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chronic risk of democratic decline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due to conspiracy theories, worsening social cohesion and other threats.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Anger and grievances about the cost of living crisis as well as growing polarisation were among factors linked in the report to decreasing societal and democratic resilience in Britain.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 xml:space="preserve">Khan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who was Rishi Sunak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independent adviser for social cohesion and resilience and the government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 xml:space="preserve">s counter-extremism commissioner under Theresa May and Boris Johnson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has sent the report to the home secretary, Yvette Cooper, in response to a government review of counter-extremism.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It calls for a reform of the Prevent programme so it solely focuses on stopping individuals being radicalised into terrorism and violent extremism with no responsibility for counter-extremism. The report says Prevent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is marred with questions about its effectiveness in preventing individuals from being drawn into terrorism and is enveloped in confusion about its role in countering extremism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.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It also refers to the role of elected figures using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inflammatory language or even extremist rhetoric, propagating conspiracies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 xml:space="preserve">or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 xml:space="preserve">engaging in </w:t>
      </w:r>
      <w:r>
        <w:rPr>
          <w:sz w:val="20"/>
          <w:szCs w:val="20"/>
          <w:rtl w:val="0"/>
        </w:rPr>
        <w:t>‘</w:t>
      </w:r>
      <w:r>
        <w:rPr>
          <w:sz w:val="20"/>
          <w:szCs w:val="20"/>
          <w:rtl w:val="0"/>
          <w:lang w:val="en-US"/>
        </w:rPr>
        <w:t>culture wars</w:t>
      </w:r>
      <w:r>
        <w:rPr>
          <w:sz w:val="20"/>
          <w:szCs w:val="20"/>
          <w:rtl w:val="0"/>
        </w:rPr>
        <w:t>’”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  <w:lang w:val="fr-FR"/>
        </w:rPr>
        <w:t xml:space="preserve"> 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Politicians clearly have an important role in what they say and the language they use,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Khan said.</w:t>
      </w:r>
      <w:r>
        <w:rPr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 xml:space="preserve">If you are using language that talks about distrusting the police or attacking an </w:t>
      </w:r>
      <w:r>
        <w:rPr>
          <w:sz w:val="20"/>
          <w:szCs w:val="20"/>
          <w:rtl w:val="0"/>
        </w:rPr>
        <w:t>‘</w:t>
      </w:r>
      <w:r>
        <w:rPr>
          <w:sz w:val="20"/>
          <w:szCs w:val="20"/>
          <w:rtl w:val="0"/>
          <w:lang w:val="en-US"/>
        </w:rPr>
        <w:t>establishment</w:t>
      </w:r>
      <w:r>
        <w:rPr>
          <w:sz w:val="20"/>
          <w:szCs w:val="20"/>
          <w:rtl w:val="0"/>
        </w:rPr>
        <w:t xml:space="preserve">’ </w:t>
      </w:r>
      <w:r>
        <w:rPr>
          <w:sz w:val="20"/>
          <w:szCs w:val="20"/>
          <w:rtl w:val="0"/>
          <w:lang w:val="en-US"/>
        </w:rPr>
        <w:t>in a certain way to whip up power or votes then you have to think about the long-term consequences of that.That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contributing to this acceleration of decline of trust in our democracy and institutions and is going to cause serious, long-term decline. I am concerned that over recent years we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ve seen increasing numbers of politicians jump on the conspiracy theory bandwagon, spread disinformation online, or use inflammatory and divisive language. I won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t use names but people know who they are.</w:t>
      </w:r>
      <w:r>
        <w:rPr>
          <w:sz w:val="20"/>
          <w:szCs w:val="20"/>
          <w:rtl w:val="0"/>
        </w:rPr>
        <w:t>”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This year the Reform UK leader, Nigel Farage, and other MPs including Richard Tice were criticised for comments about the police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 xml:space="preserve">s handling of the Southport killings. Both men have claimed there is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two tier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policing, with communities being treated differently.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</w:rPr>
        <w:t>Khan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report, Societal Threats and Declining Democratic Resilience: The New Extremism Landscape, reviews existing research and finds:</w:t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- </w:t>
      </w:r>
      <w:r>
        <w:rPr>
          <w:rStyle w:val="Aucun"/>
          <w:sz w:val="20"/>
          <w:szCs w:val="20"/>
          <w:rtl w:val="0"/>
          <w:lang w:val="en-US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</w:rPr>
        <w:t>Twenty-nine percent of people</w:t>
      </w:r>
      <w:r>
        <w:rPr>
          <w:sz w:val="20"/>
          <w:szCs w:val="20"/>
          <w:rtl w:val="0"/>
          <w:lang w:val="en-US"/>
        </w:rPr>
        <w:t xml:space="preserve"> in the UK believe in the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great reset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conspiracy theory that claims there are plans to impose a totalitarian world government.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sz w:val="20"/>
          <w:szCs w:val="20"/>
          <w:rtl w:val="0"/>
          <w:lang w:val="fr-FR"/>
        </w:rPr>
        <w:t xml:space="preserve">- </w:t>
      </w:r>
      <w:r>
        <w:rPr>
          <w:sz w:val="20"/>
          <w:szCs w:val="20"/>
          <w:rtl w:val="0"/>
          <w:lang w:val="en-US"/>
        </w:rPr>
        <w:t>Forty-five percent of young men in the UK have a positive view of the misogynistic influencer Andrew Tate.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sz w:val="20"/>
          <w:szCs w:val="20"/>
          <w:rtl w:val="0"/>
          <w:lang w:val="fr-FR"/>
        </w:rPr>
        <w:t xml:space="preserve">- </w:t>
      </w:r>
      <w:r>
        <w:rPr>
          <w:rStyle w:val="Aucun"/>
          <w:sz w:val="20"/>
          <w:szCs w:val="20"/>
          <w:rtl w:val="0"/>
          <w:lang w:val="en-US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</w:rPr>
        <w:t>One in 10</w:t>
      </w:r>
      <w:r>
        <w:rPr>
          <w:sz w:val="20"/>
          <w:szCs w:val="20"/>
          <w:rtl w:val="0"/>
          <w:lang w:val="en-US"/>
        </w:rPr>
        <w:t xml:space="preserve"> people shared the views of or sympathised with those who engaged in violent disorder and rioting during the summer.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Par défaut"/>
        <w:spacing w:after="240" w:line="280" w:lineRule="atLeas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The report, with the consultancy Crest Insights, says Keir Starmer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 xml:space="preserve">s government faces a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  <w:lang w:val="en-US"/>
        </w:rPr>
        <w:t>boiling pot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of issues including the cost of living crisis, concerns about immigration, global events such as the Gaza conflict and hostile foreign state interference.</w:t>
      </w:r>
    </w:p>
    <w:p>
      <w:pPr>
        <w:pStyle w:val="Par défaut"/>
        <w:spacing w:after="240" w:line="280" w:lineRule="atLeast"/>
      </w:pPr>
      <w:r>
        <w:rPr>
          <w:sz w:val="20"/>
          <w:szCs w:val="20"/>
          <w:rtl w:val="0"/>
          <w:lang w:val="en-US"/>
        </w:rPr>
        <w:t>Recommendations include establishing a Cabinet Office body to ensure Whitehall develops a strategic approach to preventing and measuring democratic decline.</w:t>
      </w:r>
      <w:r>
        <w:rPr>
          <w:sz w:val="20"/>
          <w:szCs w:val="20"/>
          <w:rtl w:val="0"/>
          <w:lang w:val="fr-FR"/>
        </w:rPr>
        <w:t xml:space="preserve"> [...]</w:t>
      </w: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 w14:w="0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10799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