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Chacun doit préparer, mais le groupe désigné de manière plus aboutie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1) un résumé rapide, avec questions ou réflexions éventuelles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2) analyse des points clés qui concerne notre thème, repérage des citations à organiser et à expliquer : vous pouvez vous aider du plan proposé ci-dessous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0" w:before="0" w:lineRule="auto"/>
        <w:ind w:left="1440" w:hanging="720"/>
        <w:jc w:val="both"/>
        <w:rPr>
          <w:b w:val="1"/>
          <w:sz w:val="24"/>
          <w:szCs w:val="24"/>
        </w:rPr>
      </w:pPr>
      <w:bookmarkStart w:colFirst="0" w:colLast="0" w:name="_d7u1mxok7u5f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II. Les fiançailles (ch 2 à 5)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numPr>
          <w:ilvl w:val="0"/>
          <w:numId w:val="3"/>
        </w:numPr>
        <w:spacing w:after="0" w:before="0" w:lineRule="auto"/>
        <w:ind w:left="1440" w:hanging="360"/>
        <w:jc w:val="both"/>
      </w:pPr>
      <w:bookmarkStart w:colFirst="0" w:colLast="0" w:name="_fca3xvb4pko3" w:id="1"/>
      <w:bookmarkEnd w:id="1"/>
      <w:r w:rsidDel="00000000" w:rsidR="00000000" w:rsidRPr="00000000">
        <w:rPr>
          <w:sz w:val="22"/>
          <w:szCs w:val="22"/>
          <w:u w:val="single"/>
          <w:rtl w:val="0"/>
        </w:rPr>
        <w:t xml:space="preserve">Desserrer le carcan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individus en marge : pourquoi ? Est-ce une chance ? Différences entre eux ?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numPr>
          <w:ilvl w:val="0"/>
          <w:numId w:val="3"/>
        </w:numPr>
        <w:spacing w:after="0" w:before="0" w:lineRule="auto"/>
        <w:ind w:left="1440" w:hanging="360"/>
        <w:jc w:val="both"/>
      </w:pPr>
      <w:bookmarkStart w:colFirst="0" w:colLast="0" w:name="_j3ny6a5wrqn5" w:id="2"/>
      <w:bookmarkEnd w:id="2"/>
      <w:r w:rsidDel="00000000" w:rsidR="00000000" w:rsidRPr="00000000">
        <w:rPr>
          <w:sz w:val="22"/>
          <w:szCs w:val="22"/>
          <w:u w:val="single"/>
          <w:rtl w:val="0"/>
        </w:rPr>
        <w:t xml:space="preserve"> Un monde immuable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Les rites, ce qui ne change pas : est-ce positif ? En quoi ?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Les jeunes filles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Pourquoi sont-elles au coeur du système ? Qu’en penser ?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after="0" w:before="0" w:lineRule="auto"/>
        <w:jc w:val="both"/>
        <w:rPr>
          <w:b w:val="1"/>
          <w:sz w:val="24"/>
          <w:szCs w:val="24"/>
        </w:rPr>
      </w:pPr>
      <w:bookmarkStart w:colFirst="0" w:colLast="0" w:name="_ob5tk7lu8zo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after="0" w:before="0" w:lineRule="auto"/>
        <w:ind w:firstLine="720"/>
        <w:jc w:val="both"/>
        <w:rPr>
          <w:b w:val="1"/>
          <w:sz w:val="24"/>
          <w:szCs w:val="24"/>
        </w:rPr>
      </w:pPr>
      <w:bookmarkStart w:colFirst="0" w:colLast="0" w:name="_208cbkekogcg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III. Confrontation de deux mondes (ch 6 à 10) : difficile intégration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numPr>
          <w:ilvl w:val="0"/>
          <w:numId w:val="1"/>
        </w:numPr>
        <w:spacing w:after="0" w:before="0" w:lineRule="auto"/>
        <w:ind w:left="720" w:hanging="360"/>
        <w:jc w:val="both"/>
      </w:pPr>
      <w:bookmarkStart w:colFirst="0" w:colLast="0" w:name="_shoeugbhx927" w:id="5"/>
      <w:bookmarkEnd w:id="5"/>
      <w:r w:rsidDel="00000000" w:rsidR="00000000" w:rsidRPr="00000000">
        <w:rPr>
          <w:sz w:val="22"/>
          <w:szCs w:val="22"/>
          <w:u w:val="single"/>
          <w:rtl w:val="0"/>
        </w:rPr>
        <w:t xml:space="preserve">Prison dorée :</w:t>
      </w:r>
      <w:r w:rsidDel="00000000" w:rsidR="00000000" w:rsidRPr="00000000">
        <w:rPr>
          <w:sz w:val="22"/>
          <w:szCs w:val="22"/>
          <w:rtl w:val="0"/>
        </w:rPr>
        <w:t xml:space="preserve"> ennui et sensation d’enfermement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u w:val="single"/>
          <w:rtl w:val="0"/>
        </w:rPr>
        <w:t xml:space="preserve">Artificialité</w:t>
      </w:r>
      <w:r w:rsidDel="00000000" w:rsidR="00000000" w:rsidRPr="00000000">
        <w:rPr>
          <w:rtl w:val="0"/>
        </w:rPr>
        <w:t xml:space="preserve"> : hypocrisie, faux-semblants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numPr>
          <w:ilvl w:val="0"/>
          <w:numId w:val="1"/>
        </w:numPr>
        <w:spacing w:after="0" w:before="0" w:lineRule="auto"/>
        <w:ind w:left="720" w:hanging="360"/>
        <w:jc w:val="both"/>
      </w:pPr>
      <w:bookmarkStart w:colFirst="0" w:colLast="0" w:name="_nt5d0iebmp1s" w:id="6"/>
      <w:bookmarkEnd w:id="6"/>
      <w:r w:rsidDel="00000000" w:rsidR="00000000" w:rsidRPr="00000000">
        <w:rPr>
          <w:sz w:val="22"/>
          <w:szCs w:val="22"/>
          <w:u w:val="single"/>
          <w:rtl w:val="0"/>
        </w:rPr>
        <w:t xml:space="preserve">système rigide :</w:t>
      </w:r>
      <w:r w:rsidDel="00000000" w:rsidR="00000000" w:rsidRPr="00000000">
        <w:rPr>
          <w:sz w:val="22"/>
          <w:szCs w:val="22"/>
          <w:rtl w:val="0"/>
        </w:rPr>
        <w:t xml:space="preserve"> ex de règles qui s’imposent, systèmes de défense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after="0" w:before="0" w:lineRule="auto"/>
        <w:ind w:left="1440" w:hanging="360"/>
        <w:jc w:val="both"/>
        <w:rPr>
          <w:sz w:val="24"/>
          <w:szCs w:val="24"/>
        </w:rPr>
      </w:pPr>
      <w:bookmarkStart w:colFirst="0" w:colLast="0" w:name="_2m1v5zk32xg5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IV. Divorce et Mariage (ch 11 à 14)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numPr>
          <w:ilvl w:val="0"/>
          <w:numId w:val="2"/>
        </w:numPr>
        <w:spacing w:after="0" w:before="0" w:lineRule="auto"/>
        <w:ind w:left="720" w:hanging="360"/>
        <w:jc w:val="both"/>
      </w:pPr>
      <w:bookmarkStart w:colFirst="0" w:colLast="0" w:name="_3wqrrecfvj82" w:id="8"/>
      <w:bookmarkEnd w:id="8"/>
      <w:r w:rsidDel="00000000" w:rsidR="00000000" w:rsidRPr="00000000">
        <w:rPr>
          <w:sz w:val="22"/>
          <w:szCs w:val="22"/>
          <w:u w:val="single"/>
          <w:rtl w:val="0"/>
        </w:rPr>
        <w:t xml:space="preserve">Le clan : la famille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Les présenter, expliquer ce qui les lie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numPr>
          <w:ilvl w:val="0"/>
          <w:numId w:val="2"/>
        </w:numPr>
        <w:spacing w:after="0" w:before="0" w:lineRule="auto"/>
        <w:ind w:left="720" w:hanging="360"/>
        <w:jc w:val="both"/>
      </w:pPr>
      <w:bookmarkStart w:colFirst="0" w:colLast="0" w:name="_nw8y9p3pa9h3" w:id="9"/>
      <w:bookmarkEnd w:id="9"/>
      <w:r w:rsidDel="00000000" w:rsidR="00000000" w:rsidRPr="00000000">
        <w:rPr>
          <w:sz w:val="22"/>
          <w:szCs w:val="22"/>
          <w:u w:val="single"/>
          <w:rtl w:val="0"/>
        </w:rPr>
        <w:t xml:space="preserve">Les différents groupes (</w:t>
      </w:r>
      <w:r w:rsidDel="00000000" w:rsidR="00000000" w:rsidRPr="00000000">
        <w:rPr>
          <w:sz w:val="22"/>
          <w:szCs w:val="22"/>
          <w:rtl w:val="0"/>
        </w:rPr>
        <w:t xml:space="preserve">communautés en marge de celle de Newland)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Les présenter, les analyser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numPr>
          <w:ilvl w:val="0"/>
          <w:numId w:val="2"/>
        </w:numPr>
        <w:spacing w:after="0" w:before="0" w:lineRule="auto"/>
        <w:ind w:left="720" w:hanging="360"/>
        <w:jc w:val="both"/>
      </w:pPr>
      <w:bookmarkStart w:colFirst="0" w:colLast="0" w:name="_6l77kpmgig8u" w:id="10"/>
      <w:bookmarkEnd w:id="10"/>
      <w:r w:rsidDel="00000000" w:rsidR="00000000" w:rsidRPr="00000000">
        <w:rPr>
          <w:sz w:val="22"/>
          <w:szCs w:val="22"/>
          <w:u w:val="single"/>
          <w:rtl w:val="0"/>
        </w:rPr>
        <w:t xml:space="preserve">Loyauté : 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Quels sont les aspects positifs de ces communautés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pacing w:after="0" w:before="0" w:lineRule="auto"/>
        <w:ind w:left="1440" w:hanging="360"/>
        <w:jc w:val="both"/>
        <w:rPr>
          <w:b w:val="1"/>
          <w:sz w:val="24"/>
          <w:szCs w:val="24"/>
        </w:rPr>
      </w:pPr>
      <w:bookmarkStart w:colFirst="0" w:colLast="0" w:name="_2e71cm2el0t" w:id="11"/>
      <w:bookmarkEnd w:id="11"/>
      <w:r w:rsidDel="00000000" w:rsidR="00000000" w:rsidRPr="00000000">
        <w:rPr>
          <w:b w:val="1"/>
          <w:sz w:val="24"/>
          <w:szCs w:val="24"/>
          <w:rtl w:val="0"/>
        </w:rPr>
        <w:t xml:space="preserve">V. 15 à 18</w:t>
      </w:r>
    </w:p>
    <w:p w:rsidR="00000000" w:rsidDel="00000000" w:rsidP="00000000" w:rsidRDefault="00000000" w:rsidRPr="00000000" w14:paraId="00000028">
      <w:pPr>
        <w:pStyle w:val="Heading1"/>
        <w:spacing w:after="0" w:before="0" w:lineRule="auto"/>
        <w:ind w:left="1440" w:hanging="360"/>
        <w:jc w:val="both"/>
        <w:rPr>
          <w:b w:val="1"/>
          <w:sz w:val="24"/>
          <w:szCs w:val="24"/>
        </w:rPr>
      </w:pPr>
      <w:bookmarkStart w:colFirst="0" w:colLast="0" w:name="_dq5fa6pz2ox2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spacing w:after="0" w:before="0" w:lineRule="auto"/>
        <w:ind w:left="1440" w:hanging="360"/>
        <w:jc w:val="both"/>
        <w:rPr>
          <w:b w:val="1"/>
          <w:sz w:val="24"/>
          <w:szCs w:val="24"/>
        </w:rPr>
      </w:pPr>
      <w:bookmarkStart w:colFirst="0" w:colLast="0" w:name="_syalf98p0n5a" w:id="13"/>
      <w:bookmarkEnd w:id="13"/>
      <w:r w:rsidDel="00000000" w:rsidR="00000000" w:rsidRPr="00000000">
        <w:rPr>
          <w:b w:val="1"/>
          <w:sz w:val="24"/>
          <w:szCs w:val="24"/>
          <w:rtl w:val="0"/>
        </w:rPr>
        <w:t xml:space="preserve">VI. Nouvelle vie (ch 19 à 22)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spacing w:after="0" w:before="0" w:lineRule="auto"/>
        <w:ind w:left="1440" w:hanging="360"/>
        <w:jc w:val="both"/>
        <w:rPr>
          <w:b w:val="1"/>
          <w:sz w:val="24"/>
          <w:szCs w:val="24"/>
        </w:rPr>
      </w:pPr>
      <w:bookmarkStart w:colFirst="0" w:colLast="0" w:name="_j22vaz3jnaia" w:id="14"/>
      <w:bookmarkEnd w:id="14"/>
      <w:r w:rsidDel="00000000" w:rsidR="00000000" w:rsidRPr="00000000">
        <w:rPr>
          <w:b w:val="1"/>
          <w:sz w:val="24"/>
          <w:szCs w:val="24"/>
          <w:rtl w:val="0"/>
        </w:rPr>
        <w:t xml:space="preserve">VII. Boston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after="0" w:before="0" w:lineRule="auto"/>
        <w:ind w:left="1440" w:hanging="360"/>
        <w:jc w:val="both"/>
        <w:rPr/>
      </w:pPr>
      <w:bookmarkStart w:colFirst="0" w:colLast="0" w:name="_jribn0et4q0g" w:id="15"/>
      <w:bookmarkEnd w:id="15"/>
      <w:r w:rsidDel="00000000" w:rsidR="00000000" w:rsidRPr="00000000">
        <w:rPr>
          <w:b w:val="1"/>
          <w:sz w:val="24"/>
          <w:szCs w:val="24"/>
          <w:rtl w:val="0"/>
        </w:rPr>
        <w:t xml:space="preserve">VIII. Conclusion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