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Bell MT" w:cs="Bell MT" w:eastAsia="Bell MT" w:hAnsi="Bell MT"/>
          <w:b w:val="1"/>
          <w:bCs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Jean-Jacques Rousseau, dans la septième promenade des </w:t>
      </w:r>
      <w:r w:rsidDel="00000000" w:rsidR="00000000" w:rsidRPr="00000000">
        <w:rPr>
          <w:rFonts w:ascii="Bell MT" w:cs="Bell MT" w:eastAsia="Bell MT" w:hAnsi="Bell MT"/>
          <w:i w:val="1"/>
          <w:iCs w:val="1"/>
          <w:sz w:val="24"/>
          <w:szCs w:val="24"/>
          <w:u w:val="single"/>
          <w:rtl w:val="0"/>
        </w:rPr>
        <w:t xml:space="preserve">Rêveries du promeneur solitaire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, [1776-1778] écrit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: 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8"/>
          <w:szCs w:val="28"/>
          <w:rtl w:val="0"/>
        </w:rPr>
        <w:t xml:space="preserve">« Je médite, je ne rêve jamais plus délicieusement que quand je m’oublie moi-même. Je sens des extases, des ravissements inexprimables à me fondre pour ainsi dire dans le système des êtres, à m’identifier avec la nature entière. »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60" w:line="259" w:lineRule="auto"/>
        <w:jc w:val="both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A la lueur des œuvres au programme, vous commenterez et discuterez ce propos.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