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4A7" w14:textId="77777777" w:rsidR="00642EE4" w:rsidRDefault="00642EE4" w:rsidP="00642EE4">
      <w:pPr>
        <w:pStyle w:val="Titre4"/>
      </w:pPr>
      <w:r>
        <w:t>2.2. Le petit théâtre libertin</w:t>
      </w:r>
    </w:p>
    <w:p w14:paraId="1FC346C2" w14:textId="77777777" w:rsidR="00642EE4" w:rsidRDefault="00642EE4" w:rsidP="00642EE4"/>
    <w:p w14:paraId="02F7B9AB" w14:textId="36DF1CE6" w:rsidR="00642EE4" w:rsidRPr="00642EE4" w:rsidRDefault="00642EE4" w:rsidP="00642EE4">
      <w:pPr>
        <w:ind w:firstLine="426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Les libertins ne se contentent pas de jouer un rôle pour séduire, ils mettent sur pied de </w:t>
      </w:r>
      <w:r w:rsidRPr="008433A4">
        <w:rPr>
          <w:rFonts w:ascii="Baskerville" w:hAnsi="Baskerville"/>
          <w:b/>
          <w:bCs/>
        </w:rPr>
        <w:t>véritables spectacles,</w:t>
      </w:r>
      <w:r>
        <w:rPr>
          <w:rFonts w:ascii="Baskerville" w:hAnsi="Baskerville"/>
        </w:rPr>
        <w:t xml:space="preserve"> dans lesquels ils sont tout à la fois </w:t>
      </w:r>
      <w:r w:rsidRPr="008433A4">
        <w:rPr>
          <w:rFonts w:ascii="Baskerville" w:hAnsi="Baskerville"/>
          <w:b/>
          <w:bCs/>
        </w:rPr>
        <w:t>auteurs, metteurs en scène et comédiens</w:t>
      </w:r>
      <w:r>
        <w:rPr>
          <w:rFonts w:ascii="Baskerville" w:hAnsi="Baskerville"/>
        </w:rPr>
        <w:t>.</w:t>
      </w:r>
      <w:r w:rsidRPr="009B4854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D’ailleurs, Merteuil et Valmont s’amusent volontiers de leur </w:t>
      </w:r>
      <w:r w:rsidRPr="008433A4">
        <w:rPr>
          <w:rFonts w:ascii="Baskerville" w:hAnsi="Baskerville"/>
          <w:b/>
          <w:bCs/>
        </w:rPr>
        <w:t>goût pour la théâtralité</w:t>
      </w:r>
      <w:r>
        <w:rPr>
          <w:rFonts w:ascii="Baskerville" w:hAnsi="Baskerville"/>
        </w:rPr>
        <w:t xml:space="preserve"> : la </w:t>
      </w:r>
      <w:r w:rsidRPr="008433A4">
        <w:rPr>
          <w:rFonts w:ascii="Baskerville" w:hAnsi="Baskerville"/>
          <w:b/>
          <w:bCs/>
        </w:rPr>
        <w:t>métaphore théâtrale</w:t>
      </w:r>
      <w:r>
        <w:rPr>
          <w:rFonts w:ascii="Baskerville" w:hAnsi="Baskerville"/>
        </w:rPr>
        <w:t xml:space="preserve"> revient de manière récurrente sous leur plume et ils se délectent </w:t>
      </w:r>
      <w:r>
        <w:rPr>
          <w:rFonts w:ascii="Baskerville" w:hAnsi="Baskerville"/>
        </w:rPr>
        <w:t xml:space="preserve">de </w:t>
      </w:r>
      <w:r>
        <w:rPr>
          <w:rFonts w:ascii="Baskerville" w:hAnsi="Baskerville"/>
        </w:rPr>
        <w:t xml:space="preserve">se raconter l’un à l’autre les </w:t>
      </w:r>
      <w:r w:rsidRPr="008433A4">
        <w:rPr>
          <w:rFonts w:ascii="Baskerville" w:hAnsi="Baskerville"/>
          <w:b/>
          <w:bCs/>
        </w:rPr>
        <w:t xml:space="preserve">répétitions </w:t>
      </w:r>
      <w:r>
        <w:rPr>
          <w:rFonts w:ascii="Baskerville" w:hAnsi="Baskerville"/>
        </w:rPr>
        <w:t xml:space="preserve">comme les </w:t>
      </w:r>
      <w:r w:rsidRPr="008433A4">
        <w:rPr>
          <w:rFonts w:ascii="Baskerville" w:hAnsi="Baskerville"/>
          <w:b/>
          <w:bCs/>
        </w:rPr>
        <w:t>représentations</w:t>
      </w:r>
      <w:r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</w:rPr>
        <w:t>de leurs mises en scène.</w:t>
      </w:r>
    </w:p>
    <w:p w14:paraId="0998C644" w14:textId="77777777" w:rsidR="00642EE4" w:rsidRDefault="00642EE4" w:rsidP="00642EE4">
      <w:pPr>
        <w:ind w:firstLine="426"/>
        <w:jc w:val="both"/>
        <w:rPr>
          <w:rFonts w:ascii="Baskerville" w:hAnsi="Baskerville"/>
          <w:color w:val="FF0000"/>
        </w:rPr>
      </w:pPr>
      <w:r>
        <w:rPr>
          <w:rFonts w:ascii="Baskerville" w:hAnsi="Baskerville"/>
        </w:rPr>
        <w:t xml:space="preserve">Ainsi, dans la </w:t>
      </w:r>
      <w:r>
        <w:rPr>
          <w:rFonts w:ascii="Baskerville" w:hAnsi="Baskerville"/>
          <w:b/>
          <w:bCs/>
        </w:rPr>
        <w:t>l</w:t>
      </w:r>
      <w:r w:rsidRPr="008433A4">
        <w:rPr>
          <w:rFonts w:ascii="Baskerville" w:hAnsi="Baskerville"/>
          <w:b/>
          <w:bCs/>
        </w:rPr>
        <w:t>ettre X</w:t>
      </w:r>
      <w:r>
        <w:rPr>
          <w:rFonts w:ascii="Baskerville" w:hAnsi="Baskerville"/>
        </w:rPr>
        <w:t xml:space="preserve"> évoquée précédemment, Merteuil ne fait pas que répéter son jeu, elle nous ouvre toutes les </w:t>
      </w:r>
      <w:r w:rsidRPr="008433A4">
        <w:rPr>
          <w:rFonts w:ascii="Baskerville" w:hAnsi="Baskerville"/>
          <w:b/>
          <w:bCs/>
        </w:rPr>
        <w:t>coulisses de son spectacle</w:t>
      </w:r>
      <w:r>
        <w:rPr>
          <w:rFonts w:ascii="Baskerville" w:hAnsi="Baskerville"/>
          <w:b/>
          <w:bCs/>
        </w:rPr>
        <w:t> :</w:t>
      </w:r>
      <w:r>
        <w:rPr>
          <w:rFonts w:ascii="Baskerville" w:hAnsi="Baskerville"/>
        </w:rPr>
        <w:t> </w:t>
      </w:r>
    </w:p>
    <w:p w14:paraId="4ABEB713" w14:textId="385DBE06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339A51E9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42452665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71DEC6DB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0A7FBB6B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4CED637E" w14:textId="7C55DE74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05440846" w14:textId="35CF67D2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1B8C511E" w14:textId="77777777" w:rsidR="00642EE4" w:rsidRDefault="00642EE4" w:rsidP="00642EE4">
      <w:pPr>
        <w:jc w:val="both"/>
        <w:rPr>
          <w:rFonts w:ascii="Baskerville" w:hAnsi="Baskerville"/>
          <w:color w:val="000000" w:themeColor="text1"/>
        </w:rPr>
      </w:pPr>
      <w:r>
        <w:rPr>
          <w:rFonts w:ascii="Baskerville" w:hAnsi="Baskerville"/>
        </w:rPr>
        <w:t xml:space="preserve">La </w:t>
      </w:r>
      <w:r w:rsidRPr="008433A4">
        <w:rPr>
          <w:rFonts w:ascii="Baskerville" w:hAnsi="Baskerville"/>
          <w:b/>
          <w:bCs/>
        </w:rPr>
        <w:t>lettre LXXXV,</w:t>
      </w:r>
      <w:r>
        <w:rPr>
          <w:rFonts w:ascii="Baskerville" w:hAnsi="Baskerville"/>
        </w:rPr>
        <w:t xml:space="preserve"> surtout, qui raconte l’</w:t>
      </w:r>
      <w:r w:rsidRPr="00D943E4">
        <w:rPr>
          <w:rFonts w:ascii="Baskerville" w:hAnsi="Baskerville"/>
          <w:b/>
          <w:bCs/>
        </w:rPr>
        <w:t xml:space="preserve">aventure de </w:t>
      </w:r>
      <w:proofErr w:type="spellStart"/>
      <w:r w:rsidRPr="00D943E4">
        <w:rPr>
          <w:rFonts w:ascii="Baskerville" w:hAnsi="Baskerville"/>
          <w:b/>
          <w:bCs/>
        </w:rPr>
        <w:t>Prévan</w:t>
      </w:r>
      <w:proofErr w:type="spellEnd"/>
      <w:r>
        <w:rPr>
          <w:rFonts w:ascii="Baskerville" w:hAnsi="Baskerville"/>
        </w:rPr>
        <w:t xml:space="preserve">, </w:t>
      </w:r>
      <w:r>
        <w:rPr>
          <w:rFonts w:ascii="Baskerville" w:hAnsi="Baskerville"/>
          <w:color w:val="000000" w:themeColor="text1"/>
        </w:rPr>
        <w:t>vient confirmer l’</w:t>
      </w:r>
      <w:r w:rsidRPr="00D943E4">
        <w:rPr>
          <w:rFonts w:ascii="Baskerville" w:hAnsi="Baskerville"/>
          <w:b/>
          <w:bCs/>
          <w:color w:val="000000" w:themeColor="text1"/>
        </w:rPr>
        <w:t>inventivité scénaristique</w:t>
      </w:r>
      <w:r>
        <w:rPr>
          <w:rFonts w:ascii="Baskerville" w:hAnsi="Baskerville"/>
          <w:color w:val="000000" w:themeColor="text1"/>
        </w:rPr>
        <w:t xml:space="preserve"> et la </w:t>
      </w:r>
      <w:r w:rsidRPr="00D943E4">
        <w:rPr>
          <w:rFonts w:ascii="Baskerville" w:hAnsi="Baskerville"/>
          <w:b/>
          <w:bCs/>
          <w:color w:val="000000" w:themeColor="text1"/>
        </w:rPr>
        <w:t>qualité du jeu</w:t>
      </w:r>
      <w:r>
        <w:rPr>
          <w:rFonts w:ascii="Baskerville" w:hAnsi="Baskerville"/>
          <w:color w:val="000000" w:themeColor="text1"/>
        </w:rPr>
        <w:t xml:space="preserve"> de la marquise</w:t>
      </w:r>
      <w:r>
        <w:rPr>
          <w:rFonts w:ascii="Baskerville" w:hAnsi="Baskerville"/>
          <w:color w:val="000000" w:themeColor="text1"/>
        </w:rPr>
        <w:t> :</w:t>
      </w:r>
    </w:p>
    <w:p w14:paraId="111D4BF3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2BF76645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4D1B395C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28746586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14679D20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66038720" w14:textId="70CEA8E5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43324F94" w14:textId="01AF1E80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749A8838" w14:textId="4A1ABA81" w:rsidR="00642EE4" w:rsidRPr="009F27EA" w:rsidRDefault="00642EE4" w:rsidP="00642EE4">
      <w:pPr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 xml:space="preserve">La </w:t>
      </w:r>
      <w:r w:rsidRPr="000A3CEA">
        <w:rPr>
          <w:rFonts w:ascii="Baskerville" w:hAnsi="Baskerville"/>
          <w:b/>
          <w:bCs/>
          <w:color w:val="000000" w:themeColor="text1"/>
        </w:rPr>
        <w:t xml:space="preserve">publicité </w:t>
      </w:r>
      <w:r>
        <w:rPr>
          <w:rFonts w:ascii="Baskerville" w:hAnsi="Baskerville"/>
          <w:color w:val="000000" w:themeColor="text1"/>
        </w:rPr>
        <w:t xml:space="preserve">que la Marquise assure à l’histoire participe du spectacle par l’extension de son public : la </w:t>
      </w:r>
      <w:r w:rsidRPr="00D943E4">
        <w:rPr>
          <w:rFonts w:ascii="Baskerville" w:hAnsi="Baskerville"/>
          <w:b/>
          <w:bCs/>
          <w:color w:val="000000" w:themeColor="text1"/>
        </w:rPr>
        <w:t>lettre LXXXVII</w:t>
      </w:r>
      <w:r>
        <w:rPr>
          <w:rFonts w:ascii="Baskerville" w:hAnsi="Baskerville"/>
          <w:color w:val="000000" w:themeColor="text1"/>
        </w:rPr>
        <w:t xml:space="preserve"> donne </w:t>
      </w:r>
      <w:r w:rsidRPr="00D943E4">
        <w:rPr>
          <w:rFonts w:ascii="Baskerville" w:hAnsi="Baskerville"/>
          <w:b/>
          <w:bCs/>
          <w:color w:val="000000" w:themeColor="text1"/>
        </w:rPr>
        <w:t>à Mme de Volanges</w:t>
      </w:r>
      <w:r>
        <w:rPr>
          <w:rFonts w:ascii="Baskerville" w:hAnsi="Baskerville"/>
          <w:color w:val="000000" w:themeColor="text1"/>
        </w:rPr>
        <w:t xml:space="preserve"> la </w:t>
      </w:r>
      <w:r w:rsidRPr="00D943E4">
        <w:rPr>
          <w:rFonts w:ascii="Baskerville" w:hAnsi="Baskerville"/>
          <w:b/>
          <w:bCs/>
          <w:color w:val="000000" w:themeColor="text1"/>
        </w:rPr>
        <w:t>version</w:t>
      </w:r>
      <w:r>
        <w:rPr>
          <w:rFonts w:ascii="Baskerville" w:hAnsi="Baskerville"/>
          <w:color w:val="000000" w:themeColor="text1"/>
        </w:rPr>
        <w:t xml:space="preserve"> de l’histoire </w:t>
      </w:r>
      <w:r w:rsidRPr="00642EE4">
        <w:rPr>
          <w:rFonts w:ascii="Baskerville" w:hAnsi="Baskerville"/>
          <w:b/>
          <w:bCs/>
          <w:color w:val="92D050"/>
        </w:rPr>
        <w:t>« telle qu’il faut la raconter »</w:t>
      </w:r>
      <w:r w:rsidRPr="00D943E4">
        <w:rPr>
          <w:rFonts w:ascii="Baskerville" w:hAnsi="Baskerville"/>
          <w:b/>
          <w:bCs/>
          <w:color w:val="92D050"/>
        </w:rPr>
        <w:t xml:space="preserve"> </w:t>
      </w:r>
      <w:r w:rsidRPr="00D943E4">
        <w:rPr>
          <w:rFonts w:ascii="Baskerville" w:hAnsi="Baskerville"/>
          <w:b/>
          <w:bCs/>
          <w:color w:val="000000" w:themeColor="text1"/>
          <w:u w:val="single"/>
        </w:rPr>
        <w:t xml:space="preserve">VS </w:t>
      </w:r>
      <w:r w:rsidRPr="00D943E4">
        <w:rPr>
          <w:rFonts w:ascii="Baskerville" w:hAnsi="Baskerville"/>
          <w:b/>
          <w:bCs/>
          <w:color w:val="000000" w:themeColor="text1"/>
        </w:rPr>
        <w:t>version véridique</w:t>
      </w:r>
      <w:r>
        <w:rPr>
          <w:rFonts w:ascii="Baskerville" w:hAnsi="Baskerville"/>
          <w:color w:val="000000" w:themeColor="text1"/>
        </w:rPr>
        <w:t xml:space="preserve"> donnée </w:t>
      </w:r>
      <w:r w:rsidRPr="00D943E4">
        <w:rPr>
          <w:rFonts w:ascii="Baskerville" w:hAnsi="Baskerville"/>
          <w:b/>
          <w:bCs/>
          <w:color w:val="000000" w:themeColor="text1"/>
        </w:rPr>
        <w:t>à Valmont</w:t>
      </w:r>
      <w:r>
        <w:rPr>
          <w:rFonts w:ascii="Baskerville" w:hAnsi="Baskerville"/>
          <w:color w:val="000000" w:themeColor="text1"/>
        </w:rPr>
        <w:t xml:space="preserve"> &gt; </w:t>
      </w:r>
      <w:r>
        <w:rPr>
          <w:rFonts w:ascii="Baskerville" w:hAnsi="Baskerville"/>
          <w:color w:val="000000" w:themeColor="text1"/>
        </w:rPr>
        <w:t xml:space="preserve">le </w:t>
      </w:r>
      <w:r>
        <w:rPr>
          <w:rFonts w:ascii="Baskerville" w:hAnsi="Baskerville"/>
          <w:color w:val="000000" w:themeColor="text1"/>
        </w:rPr>
        <w:t xml:space="preserve">dispositif </w:t>
      </w:r>
      <w:r w:rsidRPr="00D943E4">
        <w:rPr>
          <w:rFonts w:ascii="Baskerville" w:hAnsi="Baskerville"/>
          <w:b/>
          <w:bCs/>
          <w:color w:val="000000" w:themeColor="text1"/>
        </w:rPr>
        <w:t>polyphonique</w:t>
      </w:r>
      <w:r>
        <w:rPr>
          <w:rFonts w:ascii="Baskerville" w:hAnsi="Baskerville"/>
          <w:color w:val="000000" w:themeColor="text1"/>
        </w:rPr>
        <w:t xml:space="preserve"> des lettres permet de mettre en valeur les </w:t>
      </w:r>
      <w:r w:rsidRPr="00D943E4">
        <w:rPr>
          <w:rFonts w:ascii="Baskerville" w:hAnsi="Baskerville"/>
          <w:b/>
          <w:bCs/>
          <w:color w:val="000000" w:themeColor="text1"/>
        </w:rPr>
        <w:t>deux facettes</w:t>
      </w:r>
      <w:r>
        <w:rPr>
          <w:rFonts w:ascii="Baskerville" w:hAnsi="Baskerville"/>
          <w:color w:val="000000" w:themeColor="text1"/>
        </w:rPr>
        <w:t xml:space="preserve"> d’un même événement, l’une </w:t>
      </w:r>
      <w:r w:rsidRPr="00D943E4">
        <w:rPr>
          <w:rFonts w:ascii="Baskerville" w:hAnsi="Baskerville"/>
          <w:b/>
          <w:bCs/>
          <w:color w:val="000000" w:themeColor="text1"/>
        </w:rPr>
        <w:t>véridique et retorse</w:t>
      </w:r>
      <w:r>
        <w:rPr>
          <w:rFonts w:ascii="Baskerville" w:hAnsi="Baskerville"/>
          <w:color w:val="000000" w:themeColor="text1"/>
        </w:rPr>
        <w:t xml:space="preserve">, l’autre </w:t>
      </w:r>
      <w:r w:rsidRPr="00D943E4">
        <w:rPr>
          <w:rFonts w:ascii="Baskerville" w:hAnsi="Baskerville"/>
          <w:b/>
          <w:bCs/>
          <w:color w:val="000000" w:themeColor="text1"/>
        </w:rPr>
        <w:t>faussement morale</w:t>
      </w:r>
      <w:r>
        <w:rPr>
          <w:rFonts w:ascii="Baskerville" w:hAnsi="Baskerville"/>
          <w:color w:val="000000" w:themeColor="text1"/>
        </w:rPr>
        <w:t>.</w:t>
      </w:r>
    </w:p>
    <w:p w14:paraId="324892CD" w14:textId="64680CD2" w:rsidR="00642EE4" w:rsidRDefault="00642EE4" w:rsidP="00642EE4">
      <w:pPr>
        <w:ind w:firstLine="426"/>
        <w:jc w:val="both"/>
        <w:rPr>
          <w:rFonts w:ascii="Baskerville" w:hAnsi="Baskerville"/>
        </w:rPr>
      </w:pPr>
      <w:r w:rsidRPr="00D943E4">
        <w:rPr>
          <w:rFonts w:ascii="Baskerville" w:hAnsi="Baskerville"/>
          <w:b/>
          <w:bCs/>
        </w:rPr>
        <w:t>Valmont</w:t>
      </w:r>
      <w:r>
        <w:rPr>
          <w:rFonts w:ascii="Baskerville" w:hAnsi="Baskerville"/>
        </w:rPr>
        <w:t xml:space="preserve"> n’est pas en reste, avec </w:t>
      </w:r>
      <w:r w:rsidRPr="00D943E4">
        <w:rPr>
          <w:rFonts w:ascii="Baskerville" w:hAnsi="Baskerville"/>
          <w:b/>
          <w:bCs/>
        </w:rPr>
        <w:t>l’émouvante scène de charité</w:t>
      </w:r>
      <w:r>
        <w:rPr>
          <w:rFonts w:ascii="Baskerville" w:hAnsi="Baskerville"/>
        </w:rPr>
        <w:t xml:space="preserve"> dont il se fait le héros, en payant les dettes d’une famille pauvre (Lettre XXI), afin d’offrir à sa belle dévote un spectacle qui comble ses attentes</w:t>
      </w:r>
      <w:r>
        <w:rPr>
          <w:rFonts w:ascii="Baskerville" w:hAnsi="Baskerville"/>
        </w:rPr>
        <w:t> :</w:t>
      </w:r>
    </w:p>
    <w:p w14:paraId="2CC78CEA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7E75BFF3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0651D068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06C0C80F" w14:textId="334792ED" w:rsidR="00642EE4" w:rsidRP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6768C7E7" w14:textId="0E23F780" w:rsidR="00642EE4" w:rsidRPr="00EA338D" w:rsidRDefault="00642EE4" w:rsidP="00642EE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La représentation est un succès puisque dans la lettre suivante que la présidente adresse à Mme de Volanges, elle fait le récit de cette scène édifiante, afin de prouver à son amie que Valmont n’est pas le libertin qu’elle croit. Dans un registre plus comique,</w:t>
      </w:r>
      <w:r>
        <w:rPr>
          <w:rFonts w:ascii="Baskerville" w:hAnsi="Baskerville"/>
        </w:rPr>
        <w:t xml:space="preserve"> on peut penser à la</w:t>
      </w:r>
      <w:r>
        <w:rPr>
          <w:rFonts w:ascii="Baskerville" w:hAnsi="Baskerville"/>
        </w:rPr>
        <w:t xml:space="preserve"> </w:t>
      </w:r>
      <w:r w:rsidRPr="00D943E4">
        <w:rPr>
          <w:rFonts w:ascii="Baskerville" w:hAnsi="Baskerville"/>
          <w:b/>
          <w:bCs/>
        </w:rPr>
        <w:t>scène de vaudeville</w:t>
      </w:r>
      <w:r>
        <w:rPr>
          <w:rFonts w:ascii="Baskerville" w:hAnsi="Baskerville"/>
        </w:rPr>
        <w:t xml:space="preserve"> élaborée par Valmont dans la </w:t>
      </w:r>
      <w:r w:rsidRPr="00D943E4">
        <w:rPr>
          <w:rFonts w:ascii="Baskerville" w:hAnsi="Baskerville"/>
          <w:b/>
          <w:bCs/>
        </w:rPr>
        <w:t>lettre LXXI</w:t>
      </w:r>
      <w:r>
        <w:rPr>
          <w:rFonts w:ascii="Baskerville" w:hAnsi="Baskerville"/>
        </w:rPr>
        <w:t xml:space="preserve"> pour sauver l’honneur de la vicomtesse. </w:t>
      </w:r>
    </w:p>
    <w:p w14:paraId="1F3FAC8A" w14:textId="268C02DB" w:rsidR="00642EE4" w:rsidRDefault="00642EE4" w:rsidP="00642EE4">
      <w:pPr>
        <w:ind w:firstLine="426"/>
        <w:jc w:val="both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Les deux libertins se mettent eux-mêmes en scène mais </w:t>
      </w:r>
      <w:r w:rsidRPr="00D943E4">
        <w:rPr>
          <w:rFonts w:ascii="Baskerville" w:hAnsi="Baskerville"/>
          <w:b/>
          <w:bCs/>
          <w:color w:val="000000" w:themeColor="text1"/>
        </w:rPr>
        <w:t xml:space="preserve">tirent </w:t>
      </w:r>
      <w:r>
        <w:rPr>
          <w:rFonts w:ascii="Baskerville" w:hAnsi="Baskerville"/>
          <w:color w:val="000000" w:themeColor="text1"/>
        </w:rPr>
        <w:t xml:space="preserve">aussi </w:t>
      </w:r>
      <w:r w:rsidRPr="00D943E4">
        <w:rPr>
          <w:rFonts w:ascii="Baskerville" w:hAnsi="Baskerville"/>
          <w:b/>
          <w:bCs/>
          <w:color w:val="000000" w:themeColor="text1"/>
        </w:rPr>
        <w:t>les ficelles en sous-main</w:t>
      </w:r>
      <w:r>
        <w:rPr>
          <w:rFonts w:ascii="Baskerville" w:hAnsi="Baskerville"/>
          <w:color w:val="000000" w:themeColor="text1"/>
        </w:rPr>
        <w:t> ;</w:t>
      </w:r>
      <w:r>
        <w:rPr>
          <w:rFonts w:ascii="Baskerville" w:hAnsi="Baskerville"/>
          <w:color w:val="000000" w:themeColor="text1"/>
        </w:rPr>
        <w:t xml:space="preserve"> </w:t>
      </w:r>
      <w:r w:rsidRPr="00D943E4">
        <w:rPr>
          <w:rFonts w:ascii="Baskerville" w:hAnsi="Baskerville"/>
          <w:b/>
          <w:bCs/>
          <w:color w:val="000000" w:themeColor="text1"/>
        </w:rPr>
        <w:t>Danceny et Cécile</w:t>
      </w:r>
      <w:r>
        <w:rPr>
          <w:rFonts w:ascii="Baskerville" w:hAnsi="Baskerville"/>
          <w:color w:val="000000" w:themeColor="text1"/>
        </w:rPr>
        <w:t xml:space="preserve"> notamment apparaissent comme de véritables </w:t>
      </w:r>
      <w:r w:rsidRPr="00D943E4">
        <w:rPr>
          <w:rFonts w:ascii="Baskerville" w:hAnsi="Baskerville"/>
          <w:b/>
          <w:bCs/>
          <w:color w:val="000000" w:themeColor="text1"/>
        </w:rPr>
        <w:t xml:space="preserve">marionnettes </w:t>
      </w:r>
      <w:r>
        <w:rPr>
          <w:rFonts w:ascii="Baskerville" w:hAnsi="Baskerville"/>
          <w:color w:val="000000" w:themeColor="text1"/>
        </w:rPr>
        <w:t xml:space="preserve">entre leurs mains : </w:t>
      </w:r>
      <w:r>
        <w:rPr>
          <w:rFonts w:ascii="Baskerville" w:hAnsi="Baskerville"/>
          <w:b/>
          <w:bCs/>
          <w:color w:val="FF0000"/>
        </w:rPr>
        <w:t xml:space="preserve">Citation 10.a. </w:t>
      </w:r>
      <w:r>
        <w:rPr>
          <w:rFonts w:ascii="Baskerville" w:hAnsi="Baskerville"/>
          <w:b/>
          <w:bCs/>
          <w:color w:val="FF0000"/>
        </w:rPr>
        <w:t xml:space="preserve">et </w:t>
      </w:r>
      <w:r>
        <w:rPr>
          <w:rFonts w:ascii="Baskerville" w:hAnsi="Baskerville"/>
          <w:b/>
          <w:bCs/>
          <w:color w:val="FF0000"/>
        </w:rPr>
        <w:t xml:space="preserve">b. </w:t>
      </w:r>
      <w:r>
        <w:rPr>
          <w:rFonts w:ascii="Baskerville" w:hAnsi="Baskerville"/>
          <w:color w:val="000000" w:themeColor="text1"/>
        </w:rPr>
        <w:t>À</w:t>
      </w:r>
      <w:r>
        <w:rPr>
          <w:rFonts w:ascii="Baskerville" w:hAnsi="Baskerville"/>
          <w:color w:val="000000" w:themeColor="text1"/>
        </w:rPr>
        <w:t xml:space="preserve"> ceux qu’il utilise comme des</w:t>
      </w:r>
      <w:r w:rsidRPr="00452B91">
        <w:rPr>
          <w:rFonts w:ascii="Baskerville" w:hAnsi="Baskerville"/>
          <w:color w:val="000000" w:themeColor="text1"/>
        </w:rPr>
        <w:t xml:space="preserve"> pantins, le bon manipulateur peut donc </w:t>
      </w:r>
      <w:r w:rsidRPr="00642EE4">
        <w:rPr>
          <w:rFonts w:ascii="Baskerville" w:hAnsi="Baskerville"/>
          <w:b/>
          <w:bCs/>
          <w:i/>
          <w:iCs/>
          <w:color w:val="000000" w:themeColor="text1"/>
        </w:rPr>
        <w:t>faire croire</w:t>
      </w:r>
      <w:r w:rsidRPr="00642EE4">
        <w:rPr>
          <w:rFonts w:ascii="Baskerville" w:hAnsi="Baskerville"/>
          <w:i/>
          <w:iCs/>
          <w:color w:val="000000" w:themeColor="text1"/>
        </w:rPr>
        <w:t>,</w:t>
      </w:r>
      <w:r>
        <w:rPr>
          <w:rFonts w:ascii="Baskerville" w:hAnsi="Baskerville"/>
          <w:color w:val="000000" w:themeColor="text1"/>
        </w:rPr>
        <w:t xml:space="preserve"> mais aussi </w:t>
      </w:r>
      <w:r w:rsidRPr="00642EE4">
        <w:rPr>
          <w:rFonts w:ascii="Baskerville" w:hAnsi="Baskerville"/>
          <w:b/>
          <w:bCs/>
          <w:i/>
          <w:iCs/>
          <w:color w:val="000000" w:themeColor="text1"/>
        </w:rPr>
        <w:t>faire dire</w:t>
      </w:r>
      <w:r w:rsidRPr="00452B91">
        <w:rPr>
          <w:rFonts w:ascii="Baskerville" w:hAnsi="Baskerville"/>
          <w:color w:val="000000" w:themeColor="text1"/>
        </w:rPr>
        <w:t xml:space="preserve"> </w:t>
      </w:r>
      <w:r>
        <w:rPr>
          <w:rFonts w:ascii="Baskerville" w:hAnsi="Baskerville"/>
          <w:color w:val="000000" w:themeColor="text1"/>
        </w:rPr>
        <w:t>et même</w:t>
      </w:r>
      <w:r w:rsidRPr="00452B91">
        <w:rPr>
          <w:rFonts w:ascii="Baskerville" w:hAnsi="Baskerville"/>
          <w:color w:val="000000" w:themeColor="text1"/>
        </w:rPr>
        <w:t xml:space="preserve"> </w:t>
      </w:r>
      <w:r w:rsidRPr="00642EE4">
        <w:rPr>
          <w:rFonts w:ascii="Baskerville" w:hAnsi="Baskerville"/>
          <w:b/>
          <w:bCs/>
          <w:i/>
          <w:iCs/>
          <w:color w:val="000000" w:themeColor="text1"/>
        </w:rPr>
        <w:t>faire faire</w:t>
      </w:r>
      <w:r w:rsidRPr="00D943E4">
        <w:rPr>
          <w:rFonts w:ascii="Baskerville" w:hAnsi="Baskerville"/>
          <w:b/>
          <w:bCs/>
          <w:color w:val="000000" w:themeColor="text1"/>
        </w:rPr>
        <w:t>.</w:t>
      </w:r>
      <w:r>
        <w:rPr>
          <w:rFonts w:ascii="Baskerville" w:hAnsi="Baskerville"/>
          <w:color w:val="000000" w:themeColor="text1"/>
        </w:rPr>
        <w:t xml:space="preserve"> La marquise, surtout, apparaît comme une sorte de </w:t>
      </w:r>
      <w:r w:rsidRPr="00D943E4">
        <w:rPr>
          <w:rFonts w:ascii="Baskerville" w:hAnsi="Baskerville"/>
          <w:b/>
          <w:bCs/>
          <w:color w:val="000000" w:themeColor="text1"/>
        </w:rPr>
        <w:t>metteur en scène-démiurge</w:t>
      </w:r>
      <w:r>
        <w:rPr>
          <w:rFonts w:ascii="Baskerville" w:hAnsi="Baskerville"/>
          <w:color w:val="000000" w:themeColor="text1"/>
        </w:rPr>
        <w:t xml:space="preserve"> manipulant le </w:t>
      </w:r>
      <w:r w:rsidRPr="00D943E4">
        <w:rPr>
          <w:rFonts w:ascii="Baskerville" w:hAnsi="Baskerville"/>
          <w:b/>
          <w:bCs/>
          <w:color w:val="000000" w:themeColor="text1"/>
        </w:rPr>
        <w:t>destin des personnages</w:t>
      </w:r>
      <w:r>
        <w:rPr>
          <w:rFonts w:ascii="Baskerville" w:hAnsi="Baskerville"/>
          <w:color w:val="000000" w:themeColor="text1"/>
        </w:rPr>
        <w:t xml:space="preserve"> et organisant le </w:t>
      </w:r>
      <w:r w:rsidRPr="00D943E4">
        <w:rPr>
          <w:rFonts w:ascii="Baskerville" w:hAnsi="Baskerville"/>
          <w:b/>
          <w:bCs/>
          <w:color w:val="000000" w:themeColor="text1"/>
        </w:rPr>
        <w:t>jeu des relations</w:t>
      </w:r>
      <w:r>
        <w:rPr>
          <w:rFonts w:ascii="Baskerville" w:hAnsi="Baskerville"/>
          <w:b/>
          <w:bCs/>
          <w:color w:val="000000" w:themeColor="text1"/>
        </w:rPr>
        <w:t> </w:t>
      </w:r>
      <w:r>
        <w:rPr>
          <w:rFonts w:ascii="Baskerville" w:hAnsi="Baskerville"/>
          <w:color w:val="000000" w:themeColor="text1"/>
        </w:rPr>
        <w:t>:</w:t>
      </w:r>
    </w:p>
    <w:p w14:paraId="6456592F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5FA840CE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54CB0BC8" w14:textId="77777777" w:rsid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</w:t>
      </w:r>
    </w:p>
    <w:p w14:paraId="0D3E0257" w14:textId="313E7790" w:rsidR="0075407F" w:rsidRPr="00642EE4" w:rsidRDefault="00642EE4" w:rsidP="00642EE4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>………………………………………………………………………………………………….....................</w:t>
      </w:r>
      <w:r>
        <w:rPr>
          <w:rFonts w:ascii="Baskerville" w:hAnsi="Baskerville"/>
        </w:rPr>
        <w:t xml:space="preserve">  </w:t>
      </w:r>
    </w:p>
    <w:sectPr w:rsidR="0075407F" w:rsidRPr="00642EE4" w:rsidSect="00642EE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E4"/>
    <w:rsid w:val="00077985"/>
    <w:rsid w:val="00422E4A"/>
    <w:rsid w:val="005A6705"/>
    <w:rsid w:val="00642EE4"/>
    <w:rsid w:val="00741235"/>
    <w:rsid w:val="0075407F"/>
    <w:rsid w:val="00903AD2"/>
    <w:rsid w:val="00E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344EC"/>
  <w15:chartTrackingRefBased/>
  <w15:docId w15:val="{AB08D0CE-4E9E-3845-AE8C-CEA72363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E4"/>
  </w:style>
  <w:style w:type="paragraph" w:styleId="Titre4">
    <w:name w:val="heading 4"/>
    <w:aliases w:val="Titre 1.1.1."/>
    <w:basedOn w:val="Normal"/>
    <w:next w:val="Normal"/>
    <w:link w:val="Titre4Car"/>
    <w:uiPriority w:val="9"/>
    <w:unhideWhenUsed/>
    <w:qFormat/>
    <w:rsid w:val="00642EE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Titre 1.1.1. Car"/>
    <w:basedOn w:val="Policepardfaut"/>
    <w:link w:val="Titre4"/>
    <w:uiPriority w:val="9"/>
    <w:rsid w:val="00642EE4"/>
    <w:rPr>
      <w:rFonts w:eastAsiaTheme="majorEastAsia" w:cstheme="majorBidi"/>
      <w:b/>
      <w:bCs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597</Words>
  <Characters>2998</Characters>
  <Application>Microsoft Office Word</Application>
  <DocSecurity>0</DocSecurity>
  <Lines>39</Lines>
  <Paragraphs>3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 Touboul</dc:creator>
  <cp:keywords/>
  <dc:description/>
  <cp:lastModifiedBy>Anaëlle Touboul</cp:lastModifiedBy>
  <cp:revision>1</cp:revision>
  <dcterms:created xsi:type="dcterms:W3CDTF">2024-01-21T13:10:00Z</dcterms:created>
  <dcterms:modified xsi:type="dcterms:W3CDTF">2024-01-21T13:20:00Z</dcterms:modified>
</cp:coreProperties>
</file>